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spacing w:beforeAutospacing="0" w:line="59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spacing w:beforeAutospacing="0"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新入会会员名单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28家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</w:t>
      </w:r>
    </w:p>
    <w:bookmarkEnd w:id="0"/>
    <w:p>
      <w:pPr>
        <w:pStyle w:val="2"/>
        <w:widowControl/>
        <w:shd w:val="clear" w:color="auto" w:fill="FFFFFF"/>
        <w:spacing w:beforeAutospacing="0" w:afterAutospacing="0" w:line="510" w:lineRule="exact"/>
        <w:ind w:firstLine="600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85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广西诚亦工程监理有限公司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广西柳州明园工程建设监理有限责任公司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广西祥峰全过程工程咨询有限公司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广西荣久工程项目管理有限公司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广西杰美工程管理咨询有限公司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广西隍源工程咨询有限责任公司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广西景信工程咨询有限公司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广西联盛建设项目管理有限公司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广西腾达工程监理有限公司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广西庆威建设项目管理有限公司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广西百建工程咨询管理有限公司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广西建质工程咨询有限公司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广西怡海工程管理有限公司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广西恒锦工程管理咨询有限责任公司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广西宣建工程监理有限公司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南宁市万町工程项目管理有限责任公司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广西瑞景项目咨询有限公司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Theme="minorEastAsia" w:cstheme="minorBid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eastAsia="方正仿宋_GBK" w:hAnsiTheme="minorHAnsi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广西金广元技术咨询有限公司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广西桂海工程咨询有限公司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广西荣誉工程监理有限公司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Style w:val="5"/>
                <w:rFonts w:hint="default" w:hAnsi="Times New Roman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广西志晟工程监理有限公司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 w:val="32"/>
                <w:szCs w:val="32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兰天项目管理有限公司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中致远工程管理咨询有限公司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中鸿同创项目管理有限公司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国旭规划设计有限公司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四川同创建设工程管理有限公司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湖南长顺项目管理有限公司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方正仿宋_GBK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hAnsi="Times New Roman"/>
                <w:lang w:val="en-US" w:eastAsia="zh-CN"/>
              </w:rPr>
              <w:t>河南海纳建设管理有限公司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10" w:lineRule="exact"/>
        <w:ind w:firstLine="600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TJmM2JiNWQzYmJmOTVmOWU4MDEwODVlOWI3NTYifQ=="/>
  </w:docVars>
  <w:rsids>
    <w:rsidRoot w:val="235059A3"/>
    <w:rsid w:val="2350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15"/>
    <w:basedOn w:val="4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2025-08-13T03:16:00Z</dcterms:created>
  <dc:creator>菁菁</dc:creator>
  <cp:lastModifiedBy>菁菁</cp:lastModifiedBy>
  <dcterms:modified xsi:type="dcterms:W3CDTF">2025-08-13T03:17:07Z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E1F619B90B9943718F89CB34DFD7CCFC_11</vt:lpwstr>
  </property>
</Properties>
</file>