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中国—东盟建筑业合作与发展论坛、2022中国—东盟建筑业暨高品质人居环境博览会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简介</w:t>
      </w:r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为积极抢抓</w:t>
      </w:r>
      <w:r>
        <w:rPr>
          <w:rFonts w:ascii="Times New Roman" w:hAnsi="Times New Roman" w:eastAsia="方正仿宋_GBK"/>
          <w:sz w:val="32"/>
          <w:szCs w:val="32"/>
        </w:rPr>
        <w:t>《区域全面经济伙伴关系协定》</w:t>
      </w:r>
      <w:r>
        <w:rPr>
          <w:rFonts w:ascii="Times New Roman" w:hAnsi="Times New Roman" w:eastAsia="方正仿宋_GBK"/>
          <w:sz w:val="32"/>
          <w:szCs w:val="32"/>
          <w:lang w:val="en"/>
        </w:rPr>
        <w:t>（</w:t>
      </w:r>
      <w:r>
        <w:rPr>
          <w:rFonts w:ascii="Times New Roman" w:hAnsi="Times New Roman" w:eastAsia="方正仿宋_GBK"/>
          <w:sz w:val="32"/>
          <w:szCs w:val="32"/>
        </w:rPr>
        <w:t>RCEP</w:t>
      </w:r>
      <w:r>
        <w:rPr>
          <w:rFonts w:ascii="Times New Roman" w:hAnsi="Times New Roman" w:eastAsia="方正仿宋_GBK"/>
          <w:sz w:val="32"/>
          <w:szCs w:val="32"/>
          <w:lang w:val="e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生效实施、中国—东盟自由贸易区3.0版建设等重大机遇，充分发挥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中国</w:t>
      </w:r>
      <w:r>
        <w:rPr>
          <w:rFonts w:ascii="Times New Roman" w:hAnsi="Times New Roman" w:eastAsia="方正仿宋_GBK"/>
          <w:sz w:val="32"/>
          <w:szCs w:val="32"/>
        </w:rPr>
        <w:t>广西作为“一带一路”有机衔接重要门户和面向东盟国家开放合作桥头堡的独特区位优势，深化中国与东盟建筑业交流合作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广西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壮族自治区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邀请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住房和城乡建设部共同主办，广西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壮族自治区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住房和城乡建设厅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中国建筑业协会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、中国土木工程学会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等全国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19个工程建设行业协会共同协办的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中国—东盟建筑业合作与发展论坛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（以下简称建筑业论坛）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2022中国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东盟建筑业暨高品质人居环境博览会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（以下简称建博会）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定于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2022年11月25日-27日在南宁国际会展中心举办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目前，建筑业论坛已经商务部批复同意，正式纳入中国—东盟博览会高层论坛框架。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本届建筑业论坛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和建博会总体框架设计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为“1+1+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1+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8+1+1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+N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”，即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1场签约仪式、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1场开幕式大会、1场主论坛、8场分论坛、1个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全国性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颁奖大会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1个展会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和N场会议活动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其中，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1场签约仪式为：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广西壮族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自治区人民政府与住房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城乡建设部共建合作框架协议签约仪式。1场开幕式大会为：建筑业论坛和建博会开幕式。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主论坛为：中国—东盟建筑业合作与发展论坛，主题拟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定为：共享RCEP新机遇 共创建筑行业新未来。8场分论坛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中国—东盟新型城镇化与城市更新发展论坛、保障性租赁住房发展论坛、“一带一路”倡议下工程建设企业合规经营与风险防控论坛、中国—东盟工程监理创新发展论坛、2022中国—东盟双碳城市发展论坛、中国—东盟建筑产业互联网发展高峰论坛、中国—东盟消防行业发展论坛、第十二届热带亚热带（夏热冬暖）地区绿色建筑技术论坛。1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全国性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颁奖大会为：2020-2021年度中国建设工程鲁班奖颁奖暨行业技术创新大会。1个展会为：2022中国—东盟建筑业暨高品质人居环境博览会，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大型建筑企业展、建筑信息技术展、高品质人居环境展、建筑业金融服务展、消防产业展、绿色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生态环保展、设计咨询展以及建筑、消防、环卫大型设备室外展等八个方面的展览内容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N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场会议活动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为：全国住房保障工作座谈会、学习党的二十大精神 建设壮美广西院士座谈会、中国建筑业协会建筑业高质量发展研究院院长工作会议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、“第二批广西工程勘察设计大师”颁证暨广西建筑工匠学院首批“鲁班工匠大师”聘任仪式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届时，将邀请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住房和城乡建设部领导，广西壮族自治区人民政府领导，东盟国家政府代表、建筑主管部门领导及建筑行业协会相关负责人，国内建筑行业院士、专家及学者，各省（市、区）住房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城乡建设厅负责人，国内外建筑施工企业、房地产企业、建设工程咨询、勘察设计、科研院所、金融服务等企业负责人以线上线下相结合的方式出席。</w:t>
      </w:r>
    </w:p>
    <w:p>
      <w:pPr>
        <w:pStyle w:val="2"/>
        <w:spacing w:line="580" w:lineRule="exact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</w:rPr>
        <w:t>此次建博会采用线上线下相结合的方式。线下计划在南宁国际会展中心D区、E区及外广场举办，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展期3天，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展览面积约7万平方米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中国建筑、中国交建、中铁建设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等200余家企业参展。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线上建设“中国—东盟建筑业暨高品质人居环境博览会”官方网站，通过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线上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展示所有参展企业、参展项目及论坛内容，打造“永不落幕的博览会”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主要日程安排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6"/>
          <w:szCs w:val="36"/>
          <w:lang w:val="en-US" w:eastAsia="zh-CN" w:bidi="ar-SA"/>
        </w:rPr>
        <w:t>（日程视实际情况调整）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一、开幕式及主论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时间：2022年11月25日上午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地点：南宁国际会展中心朱瑾花厅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主题：共享RCEP新机遇 共创建筑行业新未来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规模：500人参加线下论坛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主要议程：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（一）部级官员发言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1.住房和城乡建设部领导发言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2.东盟国家部级官员发言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3.广西壮族自治区人民政府领导发言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（二）合作项目签约仪式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（三）建筑业论坛、建博会启动仪式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（四）专家、院士演讲议题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1.RCEP政策与机遇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2.建筑产业互联网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3.公共安全科技与城市安全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4.基础设施智慧服务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5.建筑数字化建设与发展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6.“双碳”政策背景下建筑行业实现碳达峰、碳中和路径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二、分论坛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（一）2022中国—东盟新型城镇化与城市更新发展论坛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时间：2022年11月25日下午，11月26日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地点：南宁鑫伟万豪酒店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主题：提升人居品质，建设壮美广西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（二）“一带一路”倡议下工程建设企业合规经营与风险防控论坛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时间：2022年11月26日上午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地点：南宁国际会展中心朱槿花厅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（三）中国—东盟工程监理创新发展论坛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地点：南宁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Hans" w:bidi="ar-SA"/>
        </w:rPr>
        <w:t>红林酒店红林厅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Hans" w:bidi="ar-SA"/>
        </w:rPr>
        <w:t>主题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：推广数字监理，促进工程建设高质量发展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（四）中国—东盟消防行业发展论坛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时间：2022年11月25日下午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地点：南宁国际会展中心D区101会议室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主题：加强技术交流合作，推动消防行业发展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（五）保障性租赁住房论坛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时间：2022年11月25日下午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地点：南宁国际会展中心朱槿花厅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主题：加快发展保障性租赁住房，助力新市民、青年人实现住有所居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（六）2022中国—东盟双碳城市发展论坛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时间：2022年11月25日下午、11月26日上午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地点：南宁会展豪生大酒店豪生厅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主题：双碳互联协同创新，助推RCEP合作共赢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（七）中国—东盟建筑产业互联网发展高峰论坛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时间：2022年11月25日下午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地点：K国际酒店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主题：产业互联网助力建筑行业数字化转型升级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（八）第十二届热带、亚热带（夏热冬暖）地区绿色建筑技术论坛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Hans" w:bidi="ar-SA"/>
        </w:rPr>
        <w:t>广西沃顿国际大酒店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北京厅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Hans" w:bidi="ar-SA"/>
        </w:rPr>
        <w:t>主题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：绿色宜居 低碳发展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三、2020～2021年度鲁班奖颁奖暨行业技术创新大会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时间：2022年11月25日下午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地点：南宁国际会展中心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B区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金桂花厅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“第二批广西工程勘察设计大师”颁证暨广西建筑工匠学院首批“鲁班工匠大师”聘任仪式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时间：2022年11月25日下午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地点：南宁国际会展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中心B区和平友谊厅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、2022中国—东盟建筑业暨高品质人居环境博览会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通过大型建筑企业展、建筑信息技术展、高品质人居环境展、建筑业金融服务展、消防产业展、绿色生态环保展、设计咨询展以及建筑、消防、环卫大型设备室外展等八个方面的展览内容，充分展示中国建筑业高质量发展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此次建博会采用线上线下相结合的方式。线下计划在南宁国际会展中心D区、E区及外广场举办，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展期3天，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展览面积约7万平方米。线上建设“中国—东盟建筑业暨高品质人居环境博览会”官方网站，通过此网站展示所有参展企业、参展项目及论坛内容，打造“永不落幕的博览会”。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zRkZDUwNWEwNjFmMzM2ZDE3ZDI0YzYxZDVhMTAifQ=="/>
  </w:docVars>
  <w:rsids>
    <w:rsidRoot w:val="75A52B2D"/>
    <w:rsid w:val="75A5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Calibri" w:hAnsi="Calibri" w:eastAsia="方正小标宋_GBK"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2361</Words>
  <Characters>2514</Characters>
  <Lines>0</Lines>
  <Paragraphs>0</Paragraphs>
  <TotalTime>0</TotalTime>
  <ScaleCrop>false</ScaleCrop>
  <LinksUpToDate>false</LinksUpToDate>
  <CharactersWithSpaces>2518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2022-11-15T02:23:00Z</dcterms:created>
  <dc:creator>洁</dc:creator>
  <cp:lastModifiedBy>洁</cp:lastModifiedBy>
  <dcterms:modified xsi:type="dcterms:W3CDTF">2022-11-15T02:24:39Z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1CBB8D2CB1BD4DF1BF966A2B2EB0DBA8</vt:lpwstr>
  </property>
</Properties>
</file>