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1" w:after="0" w:afterAutospacing="1"/>
        <w:ind w:left="0" w:right="0"/>
        <w:jc w:val="center"/>
        <w:rPr>
          <w:rStyle w:val="6"/>
          <w:b/>
          <w:sz w:val="44"/>
          <w:szCs w:val="44"/>
          <w:shd w:val="clear" w:fill="FFFFFF"/>
        </w:rPr>
      </w:pPr>
      <w:r>
        <w:rPr>
          <w:rStyle w:val="6"/>
          <w:b/>
          <w:sz w:val="44"/>
          <w:szCs w:val="44"/>
          <w:shd w:val="clear" w:fill="FFFFFF"/>
        </w:rPr>
        <w:t>关于进一步加大增值税期末留抵退税政策实施力度的公告</w:t>
      </w:r>
    </w:p>
    <w:p>
      <w:pPr>
        <w:pStyle w:val="3"/>
        <w:keepNext w:val="0"/>
        <w:keepLines w:val="0"/>
        <w:widowControl/>
        <w:suppressLineNumbers w:val="0"/>
        <w:spacing w:before="0" w:beforeAutospacing="1" w:after="0" w:afterAutospacing="1"/>
        <w:ind w:left="0" w:right="0"/>
        <w:jc w:val="center"/>
        <w:rPr>
          <w:rStyle w:val="6"/>
          <w:rFonts w:hint="eastAsia" w:ascii="Times New Roman" w:hAnsi="Times New Roman" w:eastAsia="宋体" w:cs="Times New Roman"/>
          <w:b w:val="0"/>
          <w:bCs/>
          <w:sz w:val="32"/>
          <w:szCs w:val="32"/>
          <w:shd w:val="clear" w:fill="FFFFFF"/>
          <w:lang w:val="en-US" w:eastAsia="zh-CN"/>
        </w:rPr>
      </w:pPr>
      <w:r>
        <w:rPr>
          <w:rStyle w:val="6"/>
          <w:rFonts w:hint="eastAsia" w:ascii="Times New Roman" w:hAnsi="Times New Roman" w:eastAsia="宋体" w:cs="Times New Roman"/>
          <w:b w:val="0"/>
          <w:bCs/>
          <w:sz w:val="32"/>
          <w:szCs w:val="32"/>
          <w:shd w:val="clear" w:fill="FFFFFF"/>
          <w:lang w:val="en-US" w:eastAsia="zh-CN"/>
        </w:rPr>
        <w:t>(</w:t>
      </w:r>
      <w:r>
        <w:rPr>
          <w:rStyle w:val="6"/>
          <w:rFonts w:ascii="Times New Roman" w:hAnsi="Times New Roman" w:eastAsia="宋体" w:cs="Times New Roman"/>
          <w:b w:val="0"/>
          <w:bCs/>
          <w:sz w:val="32"/>
          <w:szCs w:val="32"/>
          <w:shd w:val="clear" w:fill="FFFFFF"/>
        </w:rPr>
        <w:t>财政部 税务总局公告2022年第1</w:t>
      </w:r>
      <w:r>
        <w:rPr>
          <w:rStyle w:val="6"/>
          <w:rFonts w:hint="eastAsia" w:ascii="Times New Roman" w:hAnsi="Times New Roman" w:eastAsia="宋体" w:cs="Times New Roman"/>
          <w:b w:val="0"/>
          <w:bCs/>
          <w:sz w:val="32"/>
          <w:szCs w:val="32"/>
          <w:shd w:val="clear" w:fill="FFFFFF"/>
          <w:lang w:val="en-US" w:eastAsia="zh-CN"/>
        </w:rPr>
        <w:t>4</w:t>
      </w:r>
      <w:r>
        <w:rPr>
          <w:rStyle w:val="6"/>
          <w:rFonts w:ascii="Times New Roman" w:hAnsi="Times New Roman" w:eastAsia="宋体" w:cs="Times New Roman"/>
          <w:b w:val="0"/>
          <w:bCs/>
          <w:sz w:val="32"/>
          <w:szCs w:val="32"/>
          <w:shd w:val="clear" w:fill="FFFFFF"/>
        </w:rPr>
        <w:t>号</w:t>
      </w:r>
      <w:r>
        <w:rPr>
          <w:rStyle w:val="6"/>
          <w:rFonts w:hint="eastAsia" w:ascii="Times New Roman" w:hAnsi="Times New Roman" w:eastAsia="宋体" w:cs="Times New Roman"/>
          <w:b w:val="0"/>
          <w:bCs/>
          <w:sz w:val="32"/>
          <w:szCs w:val="32"/>
          <w:shd w:val="clear" w:fill="FFFFFF"/>
          <w:lang w:val="en-US" w:eastAsia="zh-CN"/>
        </w:rPr>
        <w:t>)</w:t>
      </w:r>
    </w:p>
    <w:p>
      <w:pPr>
        <w:pStyle w:val="3"/>
        <w:keepNext w:val="0"/>
        <w:keepLines w:val="0"/>
        <w:widowControl/>
        <w:suppressLineNumbers w:val="0"/>
        <w:spacing w:before="0" w:beforeAutospacing="0" w:after="0" w:afterAutospacing="0" w:line="480" w:lineRule="atLeast"/>
        <w:ind w:left="0" w:right="210" w:firstLine="640" w:firstLineChars="200"/>
        <w:rPr>
          <w:rFonts w:hint="eastAsia" w:ascii="宋体" w:hAnsi="宋体" w:eastAsia="宋体" w:cs="宋体"/>
          <w:sz w:val="32"/>
          <w:szCs w:val="32"/>
        </w:rPr>
      </w:pPr>
      <w:r>
        <w:rPr>
          <w:rFonts w:hint="eastAsia" w:ascii="宋体" w:hAnsi="宋体" w:eastAsia="宋体" w:cs="宋体"/>
          <w:sz w:val="32"/>
          <w:szCs w:val="32"/>
          <w:shd w:val="clear" w:fill="FFFFFF"/>
        </w:rPr>
        <w:t>支持小微企业和制造业等行业发展，提振市场主体信心、激发市场主体活力，现将进一步加大增值税期末留抵退税实施力度有关政策公告如下：</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Style w:val="6"/>
          <w:rFonts w:hint="eastAsia" w:ascii="宋体" w:hAnsi="宋体" w:eastAsia="宋体" w:cs="宋体"/>
          <w:sz w:val="32"/>
          <w:szCs w:val="32"/>
          <w:shd w:val="clear" w:fill="FFFFFF"/>
        </w:rPr>
        <w:t>一、加大小微企业增值税期末留抵退税政策力度</w:t>
      </w:r>
      <w:r>
        <w:rPr>
          <w:rFonts w:hint="eastAsia" w:ascii="宋体" w:hAnsi="宋体" w:eastAsia="宋体" w:cs="宋体"/>
          <w:sz w:val="32"/>
          <w:szCs w:val="32"/>
          <w:shd w:val="clear" w:fill="FFFFFF"/>
        </w:rPr>
        <w:t>，将先进制造业按月全额退还增值税增量留抵税额政策范围扩大至符合条件的小微企业（含个体工商户，下同），并一次性退还小微企业存量留抵税额。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（一）符合条件的小微企业，可以自2022年4月纳税申报期起向主管税务机关申请退还增量留抵税额。在2022年12月31日前，退税条件按照本公告第三条规定执行。</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（二）符合条件的微型企业，可以自2022年4月纳税申报期起向主管税务机关申请一次性退还存量留抵税额；符合条件的小型企业，可以自2022年5月纳税申报期起向主管税务机关申请一次性退还存量留抵税额。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二、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（一）符合条件的制造业等行业企业，可以自2022年4月纳税申报期起向主管税务机关申请退还增量留抵税额。</w:t>
      </w:r>
    </w:p>
    <w:p>
      <w:pPr>
        <w:pStyle w:val="3"/>
        <w:keepNext w:val="0"/>
        <w:keepLines w:val="0"/>
        <w:widowControl/>
        <w:suppressLineNumbers w:val="0"/>
        <w:spacing w:before="0" w:beforeAutospacing="0" w:after="0" w:afterAutospacing="0" w:line="480" w:lineRule="atLeast"/>
        <w:ind w:left="0" w:right="210" w:firstLine="640" w:firstLineChars="200"/>
        <w:rPr>
          <w:rFonts w:hint="eastAsia" w:ascii="宋体" w:hAnsi="宋体" w:eastAsia="宋体" w:cs="宋体"/>
          <w:sz w:val="32"/>
          <w:szCs w:val="32"/>
        </w:rPr>
      </w:pPr>
      <w:r>
        <w:rPr>
          <w:rFonts w:hint="eastAsia" w:ascii="宋体" w:hAnsi="宋体" w:eastAsia="宋体" w:cs="宋体"/>
          <w:sz w:val="32"/>
          <w:szCs w:val="32"/>
          <w:shd w:val="clear" w:fill="FFFFFF"/>
        </w:rPr>
        <w:t>（二）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Style w:val="6"/>
          <w:rFonts w:hint="eastAsia" w:ascii="宋体" w:hAnsi="宋体" w:eastAsia="宋体" w:cs="宋体"/>
          <w:sz w:val="32"/>
          <w:szCs w:val="32"/>
          <w:shd w:val="clear" w:fill="FFFFFF"/>
        </w:rPr>
        <w:t>三、适用本公告政策的纳税人需同时符合以下条件：</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（一）纳税信用等级为A级或者B级；</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（二）申请退税前36个月未发生骗取留抵退税、骗取出口退税或虚开增值税专用发票情形；</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（三）申请退税前36个月未因偷税被税务机关处罚两次及以上；</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（四）2019年4月1日起未享受即征即退、先征后返（退）政策。</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Style w:val="6"/>
          <w:rFonts w:hint="eastAsia" w:ascii="宋体" w:hAnsi="宋体" w:eastAsia="宋体" w:cs="宋体"/>
          <w:sz w:val="32"/>
          <w:szCs w:val="32"/>
          <w:shd w:val="clear" w:fill="FFFFFF"/>
        </w:rPr>
        <w:t>四、本公告所称增量留抵税额，区分以下情形确定：</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（一）纳税人获得一次性存量留抵退税前，增量留抵税额为当期期末留抵税额与2019年3月31日相比新增加的留抵税额。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（二）纳税人获得一次性存量留抵退税后，增量留抵税额为当期期末留抵税额。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Style w:val="6"/>
          <w:rFonts w:hint="eastAsia" w:ascii="宋体" w:hAnsi="宋体" w:eastAsia="宋体" w:cs="宋体"/>
          <w:sz w:val="32"/>
          <w:szCs w:val="32"/>
          <w:shd w:val="clear" w:fill="FFFFFF"/>
        </w:rPr>
        <w:t>五、本公告所称存量留抵税额，区分以下情形确定：</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一）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（二）纳税人获得一次性存量留抵退税后，存量留抵税额为零。</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六、本公告所称中型企业、小型企业和微型企业，按照《中小企业划型标准规定》（工信部联企业〔2011〕300号）和《金融业企业划型标准规定》（银发〔2015〕309号）中的营业收入指标、资产总额指标确定。其中，资产总额指标按照纳税人上一会计年度年末值确定。</w:t>
      </w:r>
      <w:r>
        <w:rPr>
          <w:rStyle w:val="6"/>
          <w:rFonts w:hint="eastAsia" w:ascii="宋体" w:hAnsi="宋体" w:eastAsia="宋体" w:cs="宋体"/>
          <w:sz w:val="32"/>
          <w:szCs w:val="32"/>
          <w:shd w:val="clear" w:fill="FFFFFF"/>
        </w:rPr>
        <w:t>营业收入指标按照纳税人上一会计年度增值税销售额确定；不满一个会计年度的，按照以下公式计算：</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增值税销售额（年）=上一会计年度企业实际存续期间增值税销售额/企业实际存续月数×12</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本公告所称增值税销售额，包括纳税申报销售额、稽查查补销售额、纳税评估调整销售额。适用增值税差额征税政策的，以差额后的销售额确定。</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本公告所称大型企业，是指除上述中型企业、小型企业和微型企业外的其他企业。</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七、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w:t>
      </w:r>
      <w:r>
        <w:rPr>
          <w:rStyle w:val="6"/>
          <w:rFonts w:hint="eastAsia" w:ascii="宋体" w:hAnsi="宋体" w:eastAsia="宋体" w:cs="宋体"/>
          <w:sz w:val="32"/>
          <w:szCs w:val="32"/>
          <w:shd w:val="clear" w:fill="FFFFFF"/>
        </w:rPr>
        <w:t>比重超过50%的纳税人。</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上述销售额比重根据纳税人申请退税前连续12个月的销售额计算确定；申请退税前经营期不满12个月但满3个月的，按照实际经营期的销售额计算确定。</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Style w:val="6"/>
          <w:rFonts w:hint="eastAsia" w:ascii="宋体" w:hAnsi="宋体" w:eastAsia="宋体" w:cs="宋体"/>
          <w:sz w:val="32"/>
          <w:szCs w:val="32"/>
          <w:shd w:val="clear" w:fill="FFFFFF"/>
        </w:rPr>
        <w:t>八、适用本公告政策的纳税人，按照以下公式计算允许退还的留抵税额：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允许退还的增量留抵税额=增量留抵税额×进项构成比例×100%</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允许退还的存量留抵税额=存量留抵税额×进项构成比例×100%</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九、纳税人出口货物劳务、发生跨境应税行为，适用免抵退税办法的，应先办理免抵退税。免抵退税办理完毕后，仍符合本公告规定条件的，可以申请退还留抵税额；适用免退税办法的，相关进项税额不得用于退还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纳税人自2019年4月1日起已取得留抵退税款的，不得再申请享受增值税即征即退、先征后返（退）政策。纳税人可以在2022年10月31日前一次性将已取得的留抵退税款全部缴回后，按规定申请享受增值税即征即退、先征后返（退）政策。</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纳税人自2019年4月1日起已享受增值税即征即退、先征后返（退）政策的，可以在2022年10月31日前一次性将已退还的增值税即征即退、先征后返（退）税款全部缴回后，按规定申请退还留抵税额。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一、纳税人可以选择向主管税务机关申请留抵退税，也可以选择结转下期继续抵扣。纳税人应在纳税申报期内，完成当期增值税纳税申报后申请留抵退税。2022年4月至6月的留抵退税申请时间，延长至每月最后一个工作日。</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纳税人可以在规定期限内同时申请增量留抵退税和存量留抵退税。同时符合本公告第一条和第二条相关留抵退税政策的纳税人，可任意选择申请适用上述留抵退税政策。</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十二、纳税人取得退还的留抵税额后，应相应调减当期留抵税额。</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如果发现纳税人存在留抵退税政策适用有误的情形，纳税人应在下个纳税申报期结束前缴回相关留抵退税款。</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以虚增进项、虚假申报或其他欺骗手段，骗取留抵退税款的，由税务机关追缴其骗取的退税款，并按照《中华人民共和国税收征收管理法》等有关规定处理。</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十三、适用本公告规定留抵退税政策的纳税人办理留抵退税的税收管理事项，继续按照现行规定执行。</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十四、除上述纳税人以外的其他纳税人申请退还增量留抵税额的规定，继续按照《财政部 税务总局 海关总署关于深化增值税改革有关政策的公告》（财政部 税务总局 海关总署公告2019年第39号）执行，其中，第八条第三款关于“进项构成比例”的相关规定，按照本公告第八条规定执行。</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五、各级财政和税务部门务必高度重视留抵退税工作，摸清底数、周密筹划、加强宣传、密切协作、统筹推进，并分别于2022年4月30日、6月30日、9月30日、12月31日前，在纳税人自愿申请的基础上，集中退还微型、小型、中型、大型企业存量留抵税额。税务部门结合纳税人留抵退税申请情况，规范高效便捷地为纳税人办理留抵退税。</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十六、</w:t>
      </w:r>
      <w:r>
        <w:rPr>
          <w:rStyle w:val="6"/>
          <w:rFonts w:hint="eastAsia" w:ascii="宋体" w:hAnsi="宋体" w:eastAsia="宋体" w:cs="宋体"/>
          <w:sz w:val="32"/>
          <w:szCs w:val="32"/>
          <w:shd w:val="clear" w:fill="FFFFFF"/>
        </w:rPr>
        <w:t>本公告自2022年4月1日施行</w:t>
      </w:r>
      <w:r>
        <w:rPr>
          <w:rFonts w:hint="eastAsia" w:ascii="宋体" w:hAnsi="宋体" w:eastAsia="宋体" w:cs="宋体"/>
          <w:sz w:val="32"/>
          <w:szCs w:val="32"/>
          <w:shd w:val="clear" w:fill="FFFFFF"/>
        </w:rPr>
        <w:t>。《财政部 税务总局关于明确部分先进制造业增值税期末留抵退税政策的公告》（财政部 税务总</w:t>
      </w:r>
      <w:bookmarkStart w:id="0" w:name="_GoBack"/>
      <w:bookmarkEnd w:id="0"/>
      <w:r>
        <w:rPr>
          <w:rFonts w:hint="eastAsia" w:ascii="宋体" w:hAnsi="宋体" w:eastAsia="宋体" w:cs="宋体"/>
          <w:sz w:val="32"/>
          <w:szCs w:val="32"/>
          <w:shd w:val="clear" w:fill="FFFFFF"/>
        </w:rPr>
        <w:t>局公告2019年第84号）、《财政部 税务总局关于明确国有农用地出租等增值税政策的公告》（财政部 税务总局公告2020年第2号）第六条、《财政部 税务总局关于明确先进制造业增值税期末留抵退税政策的公告》（财政部 税务总局公告2021年第15号）同时废止。</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特此公告。</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Fonts w:hint="eastAsia" w:ascii="宋体" w:hAnsi="宋体" w:eastAsia="宋体" w:cs="宋体"/>
          <w:sz w:val="32"/>
          <w:szCs w:val="32"/>
          <w:shd w:val="clear" w:fill="FFFFFF"/>
          <w:lang w:val="en-US" w:eastAsia="zh-CN"/>
        </w:rPr>
        <w:t xml:space="preserve">                              </w:t>
      </w:r>
      <w:r>
        <w:rPr>
          <w:rFonts w:hint="eastAsia" w:ascii="宋体" w:hAnsi="宋体" w:eastAsia="宋体" w:cs="宋体"/>
          <w:sz w:val="32"/>
          <w:szCs w:val="32"/>
          <w:shd w:val="clear" w:fill="FFFFFF"/>
        </w:rPr>
        <w:t>财政部 税务总局</w:t>
      </w:r>
    </w:p>
    <w:p>
      <w:pPr>
        <w:pStyle w:val="3"/>
        <w:keepNext w:val="0"/>
        <w:keepLines w:val="0"/>
        <w:widowControl/>
        <w:suppressLineNumbers w:val="0"/>
        <w:spacing w:before="0" w:beforeAutospacing="0" w:after="0" w:afterAutospacing="0" w:line="480" w:lineRule="atLeast"/>
        <w:ind w:left="0" w:right="210"/>
        <w:rPr>
          <w:rFonts w:hint="eastAsia" w:ascii="宋体" w:hAnsi="宋体" w:eastAsia="宋体" w:cs="宋体"/>
          <w:sz w:val="32"/>
          <w:szCs w:val="32"/>
        </w:rPr>
      </w:pPr>
      <w:r>
        <w:rPr>
          <w:rFonts w:hint="eastAsia" w:ascii="宋体" w:hAnsi="宋体" w:eastAsia="宋体" w:cs="宋体"/>
          <w:sz w:val="32"/>
          <w:szCs w:val="32"/>
          <w:shd w:val="clear" w:fill="FFFFFF"/>
        </w:rPr>
        <w:t>　　</w:t>
      </w:r>
      <w:r>
        <w:rPr>
          <w:rFonts w:hint="eastAsia" w:ascii="宋体" w:hAnsi="宋体" w:eastAsia="宋体" w:cs="宋体"/>
          <w:sz w:val="32"/>
          <w:szCs w:val="32"/>
          <w:shd w:val="clear" w:fill="FFFFFF"/>
          <w:lang w:val="en-US" w:eastAsia="zh-CN"/>
        </w:rPr>
        <w:t xml:space="preserve">                              </w:t>
      </w:r>
      <w:r>
        <w:rPr>
          <w:rFonts w:hint="eastAsia" w:ascii="宋体" w:hAnsi="宋体" w:eastAsia="宋体" w:cs="宋体"/>
          <w:sz w:val="32"/>
          <w:szCs w:val="32"/>
          <w:shd w:val="clear" w:fill="FFFFFF"/>
        </w:rPr>
        <w:t>2022年3月21日</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TFkODU3OWZiMGNlZjAwNGNhZTc3Y2UxMzFmMjMifQ=="/>
  </w:docVars>
  <w:rsids>
    <w:rsidRoot w:val="38445A2A"/>
    <w:rsid w:val="020849F9"/>
    <w:rsid w:val="2297721A"/>
    <w:rsid w:val="38445A2A"/>
    <w:rsid w:val="56E50D68"/>
    <w:rsid w:val="6CDF7EF3"/>
    <w:rsid w:val="77040B90"/>
    <w:rsid w:val="7A6D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 w:type="character" w:customStyle="1" w:styleId="9">
    <w:name w:val="hover28"/>
    <w:basedOn w:val="5"/>
    <w:uiPriority w:val="0"/>
    <w:rPr>
      <w:color w:val="FF6600"/>
    </w:rPr>
  </w:style>
  <w:style w:type="character" w:customStyle="1" w:styleId="10">
    <w:name w:val="selected"/>
    <w:basedOn w:val="5"/>
    <w:uiPriority w:val="0"/>
    <w:rPr>
      <w:color w:val="FFFFFF"/>
      <w:sz w:val="24"/>
      <w:szCs w:val="24"/>
      <w:u w:val="none"/>
      <w:shd w:val="clear" w:fill="FF66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3100</Words>
  <Characters>3247</Characters>
  <Lines>0</Lines>
  <Paragraphs>0</Paragraphs>
  <TotalTime>1</TotalTime>
  <ScaleCrop>false</ScaleCrop>
  <LinksUpToDate>false</LinksUpToDate>
  <CharactersWithSpaces>3403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2022-05-11T04:00:00Z</dcterms:created>
  <dc:creator>Administrator</dc:creator>
  <cp:lastModifiedBy>Administrator</cp:lastModifiedBy>
  <dcterms:modified xsi:type="dcterms:W3CDTF">2022-05-11T04:08:41Z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05379CEA286340F69464211F36CC3600</vt:lpwstr>
  </property>
</Properties>
</file>