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40" w:lineRule="atLeast"/>
        <w:rPr>
          <w:b/>
          <w:bCs/>
          <w:sz w:val="32"/>
          <w:szCs w:val="32"/>
        </w:rPr>
      </w:pPr>
      <w:r>
        <w:rPr>
          <w:rFonts w:hint="eastAsia"/>
          <w:b/>
          <w:bCs/>
          <w:sz w:val="32"/>
          <w:szCs w:val="32"/>
        </w:rPr>
        <w:t>UDC</w:t>
      </w:r>
    </w:p>
    <w:p>
      <w:pPr>
        <w:adjustRightInd w:val="0"/>
        <w:snapToGrid w:val="0"/>
        <w:spacing w:line="440" w:lineRule="atLeast"/>
        <w:rPr>
          <w:b/>
          <w:bCs/>
          <w:sz w:val="32"/>
          <w:szCs w:val="32"/>
        </w:rPr>
      </w:pPr>
      <w:r>
        <w:rPr>
          <w:b/>
          <w:bCs/>
          <w:sz w:val="32"/>
          <w:szCs w:val="32"/>
        </w:rPr>
        <w:t xml:space="preserve">  </w:t>
      </w:r>
    </w:p>
    <w:p>
      <w:pPr>
        <w:adjustRightInd w:val="0"/>
        <w:snapToGrid w:val="0"/>
        <w:spacing w:line="440" w:lineRule="atLeast"/>
        <w:jc w:val="center"/>
        <w:rPr>
          <w:b/>
          <w:bCs/>
          <w:sz w:val="40"/>
          <w:szCs w:val="32"/>
        </w:rPr>
      </w:pPr>
      <w:r>
        <w:rPr>
          <w:b/>
          <w:bCs/>
          <w:sz w:val="40"/>
          <w:szCs w:val="32"/>
        </w:rPr>
        <w:t>广西壮族自治区</w:t>
      </w:r>
      <w:r>
        <w:rPr>
          <w:rFonts w:hint="eastAsia"/>
          <w:b/>
          <w:bCs/>
          <w:sz w:val="40"/>
          <w:szCs w:val="32"/>
        </w:rPr>
        <w:t>工程建设</w:t>
      </w:r>
      <w:r>
        <w:rPr>
          <w:b/>
          <w:bCs/>
          <w:sz w:val="40"/>
          <w:szCs w:val="32"/>
        </w:rPr>
        <w:t>地方标准</w:t>
      </w:r>
      <w:r>
        <w:rPr>
          <w:rFonts w:hint="eastAsia"/>
          <w:b/>
          <w:bCs/>
          <w:sz w:val="40"/>
          <w:szCs w:val="32"/>
        </w:rPr>
        <w:t xml:space="preserve">   </w:t>
      </w:r>
      <w:r>
        <w:rPr>
          <w:b/>
          <w:bCs/>
          <w:sz w:val="72"/>
          <w:szCs w:val="32"/>
        </w:rPr>
        <w:t>DB</w:t>
      </w:r>
    </w:p>
    <w:p>
      <w:pPr>
        <w:adjustRightInd w:val="0"/>
        <w:snapToGrid w:val="0"/>
        <w:spacing w:beforeLines="50" w:line="440" w:lineRule="atLeast"/>
        <w:rPr>
          <w:b/>
          <w:bCs/>
          <w:sz w:val="24"/>
          <w:szCs w:val="32"/>
        </w:rPr>
      </w:pPr>
      <w:r>
        <w:rPr>
          <w:b/>
          <w:bCs/>
          <w:sz w:val="32"/>
          <w:szCs w:val="32"/>
        </w:rPr>
        <w:t xml:space="preserve">                                 </w:t>
      </w:r>
      <w:r>
        <w:rPr>
          <w:rFonts w:hint="eastAsia"/>
          <w:b/>
          <w:bCs/>
          <w:sz w:val="32"/>
          <w:szCs w:val="32"/>
        </w:rPr>
        <w:t xml:space="preserve">      </w:t>
      </w:r>
      <w:r>
        <w:rPr>
          <w:b/>
          <w:bCs/>
          <w:sz w:val="24"/>
          <w:szCs w:val="32"/>
        </w:rPr>
        <w:t>DB</w:t>
      </w:r>
      <w:r>
        <w:rPr>
          <w:rFonts w:hint="eastAsia"/>
          <w:b/>
          <w:bCs/>
          <w:sz w:val="24"/>
          <w:szCs w:val="32"/>
        </w:rPr>
        <w:t>J</w:t>
      </w:r>
      <w:r>
        <w:rPr>
          <w:b/>
          <w:bCs/>
          <w:sz w:val="24"/>
          <w:szCs w:val="32"/>
        </w:rPr>
        <w:t>/T</w:t>
      </w:r>
      <w:r>
        <w:rPr>
          <w:rFonts w:hint="eastAsia"/>
          <w:b/>
          <w:bCs/>
          <w:sz w:val="24"/>
          <w:szCs w:val="32"/>
        </w:rPr>
        <w:t xml:space="preserve"> 45</w:t>
      </w:r>
      <w:r>
        <w:rPr>
          <w:rFonts w:hint="eastAsia"/>
          <w:b/>
          <w:bCs/>
          <w:sz w:val="24"/>
          <w:szCs w:val="32"/>
          <w:lang w:val="en-US" w:eastAsia="zh-CN"/>
        </w:rPr>
        <w:t>-105-</w:t>
      </w:r>
      <w:r>
        <w:rPr>
          <w:b/>
          <w:bCs/>
          <w:sz w:val="24"/>
          <w:szCs w:val="32"/>
        </w:rPr>
        <w:t>20</w:t>
      </w:r>
      <w:r>
        <w:rPr>
          <w:rFonts w:hint="eastAsia"/>
          <w:b/>
          <w:bCs/>
          <w:sz w:val="24"/>
          <w:szCs w:val="32"/>
        </w:rPr>
        <w:t>20</w:t>
      </w:r>
      <w:r>
        <w:rPr>
          <w:b/>
          <w:bCs/>
          <w:sz w:val="32"/>
          <w:szCs w:val="32"/>
        </w:rPr>
        <w:t xml:space="preserve">  </w:t>
      </w:r>
      <w:r>
        <w:rPr>
          <w:b/>
          <w:bCs/>
          <w:sz w:val="24"/>
          <w:szCs w:val="32"/>
        </w:rPr>
        <w:t xml:space="preserve"> </w:t>
      </w:r>
      <w:r>
        <w:rPr>
          <w:rFonts w:hint="eastAsia"/>
          <w:b/>
          <w:bCs/>
          <w:sz w:val="24"/>
          <w:szCs w:val="32"/>
        </w:rPr>
        <w:t xml:space="preserve">   </w:t>
      </w:r>
    </w:p>
    <w:p>
      <w:pPr>
        <w:adjustRightInd w:val="0"/>
        <w:snapToGrid w:val="0"/>
        <w:spacing w:beforeLines="50" w:line="440" w:lineRule="atLeast"/>
        <w:rPr>
          <w:b/>
          <w:bCs/>
          <w:sz w:val="24"/>
          <w:szCs w:val="32"/>
        </w:rPr>
      </w:pPr>
      <w:r>
        <w:rPr>
          <w:rFonts w:hint="eastAsia"/>
          <w:b/>
          <w:bCs/>
          <w:sz w:val="24"/>
          <w:szCs w:val="32"/>
        </w:rPr>
        <w:t>P                                                   备案号：</w:t>
      </w:r>
    </w:p>
    <w:p>
      <w:pPr>
        <w:pBdr>
          <w:bottom w:val="single" w:color="auto" w:sz="6" w:space="1"/>
        </w:pBdr>
        <w:adjustRightInd w:val="0"/>
        <w:snapToGrid w:val="0"/>
        <w:spacing w:line="40" w:lineRule="atLeast"/>
        <w:jc w:val="center"/>
        <w:rPr>
          <w:b/>
          <w:bCs/>
          <w:sz w:val="11"/>
          <w:szCs w:val="32"/>
        </w:rPr>
      </w:pPr>
    </w:p>
    <w:p>
      <w:pPr>
        <w:adjustRightInd w:val="0"/>
        <w:snapToGrid w:val="0"/>
        <w:spacing w:line="440" w:lineRule="atLeast"/>
        <w:jc w:val="center"/>
        <w:rPr>
          <w:b/>
          <w:bCs/>
          <w:sz w:val="32"/>
          <w:szCs w:val="32"/>
        </w:rPr>
      </w:pPr>
    </w:p>
    <w:p>
      <w:pPr>
        <w:adjustRightInd w:val="0"/>
        <w:snapToGrid w:val="0"/>
        <w:spacing w:line="440" w:lineRule="atLeast"/>
        <w:jc w:val="center"/>
        <w:rPr>
          <w:b/>
          <w:bCs/>
          <w:sz w:val="40"/>
          <w:szCs w:val="32"/>
        </w:rPr>
      </w:pPr>
    </w:p>
    <w:p>
      <w:pPr>
        <w:adjustRightInd w:val="0"/>
        <w:snapToGrid w:val="0"/>
        <w:spacing w:line="440" w:lineRule="atLeast"/>
        <w:jc w:val="center"/>
        <w:rPr>
          <w:b/>
          <w:bCs/>
          <w:sz w:val="40"/>
          <w:szCs w:val="32"/>
        </w:rPr>
      </w:pPr>
    </w:p>
    <w:p>
      <w:pPr>
        <w:adjustRightInd w:val="0"/>
        <w:snapToGrid w:val="0"/>
        <w:spacing w:line="360" w:lineRule="auto"/>
        <w:jc w:val="center"/>
        <w:rPr>
          <w:rFonts w:eastAsia="黑体"/>
          <w:b/>
          <w:bCs/>
          <w:sz w:val="44"/>
          <w:szCs w:val="32"/>
        </w:rPr>
      </w:pPr>
      <w:r>
        <w:rPr>
          <w:rFonts w:hint="eastAsia" w:eastAsia="黑体"/>
          <w:b/>
          <w:bCs/>
          <w:sz w:val="44"/>
          <w:szCs w:val="32"/>
        </w:rPr>
        <w:t xml:space="preserve">  建筑电气线路绝缘电阻、</w:t>
      </w:r>
    </w:p>
    <w:p>
      <w:pPr>
        <w:adjustRightInd w:val="0"/>
        <w:snapToGrid w:val="0"/>
        <w:spacing w:line="360" w:lineRule="auto"/>
        <w:jc w:val="center"/>
        <w:rPr>
          <w:rFonts w:eastAsia="黑体"/>
          <w:b/>
          <w:bCs/>
          <w:sz w:val="36"/>
          <w:szCs w:val="32"/>
        </w:rPr>
      </w:pPr>
      <w:r>
        <w:rPr>
          <w:rFonts w:hint="eastAsia" w:eastAsia="黑体"/>
          <w:b/>
          <w:bCs/>
          <w:sz w:val="44"/>
          <w:szCs w:val="32"/>
        </w:rPr>
        <w:t>接地电阻检测技术规程</w:t>
      </w:r>
    </w:p>
    <w:p>
      <w:pPr>
        <w:adjustRightInd w:val="0"/>
        <w:snapToGrid w:val="0"/>
        <w:spacing w:line="440" w:lineRule="atLeast"/>
        <w:jc w:val="center"/>
        <w:rPr>
          <w:b/>
          <w:bCs/>
          <w:sz w:val="32"/>
          <w:szCs w:val="32"/>
        </w:rPr>
      </w:pPr>
      <w:r>
        <w:rPr>
          <w:b/>
          <w:bCs/>
          <w:sz w:val="32"/>
          <w:szCs w:val="32"/>
        </w:rPr>
        <w:t xml:space="preserve">Technical specification for detection of electrical lines insulation resistance and </w:t>
      </w:r>
      <w:r>
        <w:rPr>
          <w:rFonts w:hint="eastAsia"/>
          <w:b/>
          <w:bCs/>
          <w:sz w:val="32"/>
          <w:szCs w:val="32"/>
        </w:rPr>
        <w:t>l</w:t>
      </w:r>
      <w:r>
        <w:rPr>
          <w:b/>
          <w:bCs/>
          <w:sz w:val="32"/>
          <w:szCs w:val="32"/>
        </w:rPr>
        <w:t>ightning protection</w:t>
      </w:r>
      <w:r>
        <w:rPr>
          <w:rFonts w:hint="eastAsia"/>
          <w:b/>
          <w:bCs/>
          <w:sz w:val="32"/>
          <w:szCs w:val="32"/>
        </w:rPr>
        <w:t xml:space="preserve"> </w:t>
      </w:r>
      <w:r>
        <w:rPr>
          <w:b/>
          <w:bCs/>
          <w:sz w:val="32"/>
          <w:szCs w:val="32"/>
        </w:rPr>
        <w:t>ground resistance of building</w:t>
      </w:r>
      <w:r>
        <w:rPr>
          <w:rFonts w:hint="eastAsia"/>
          <w:b/>
          <w:bCs/>
          <w:sz w:val="32"/>
          <w:szCs w:val="32"/>
        </w:rPr>
        <w:t>s</w:t>
      </w:r>
      <w:r>
        <w:rPr>
          <w:b/>
          <w:bCs/>
          <w:sz w:val="32"/>
          <w:szCs w:val="32"/>
        </w:rPr>
        <w:t xml:space="preserve"> </w:t>
      </w:r>
    </w:p>
    <w:p>
      <w:pPr>
        <w:adjustRightInd w:val="0"/>
        <w:snapToGrid w:val="0"/>
        <w:spacing w:line="440" w:lineRule="atLeast"/>
        <w:jc w:val="center"/>
        <w:rPr>
          <w:b/>
          <w:bCs/>
          <w:sz w:val="32"/>
          <w:szCs w:val="32"/>
        </w:rPr>
      </w:pPr>
    </w:p>
    <w:p>
      <w:pPr>
        <w:adjustRightInd w:val="0"/>
        <w:snapToGrid w:val="0"/>
        <w:spacing w:line="440" w:lineRule="atLeast"/>
        <w:jc w:val="center"/>
        <w:rPr>
          <w:b/>
          <w:bCs/>
          <w:sz w:val="32"/>
          <w:szCs w:val="32"/>
        </w:rPr>
      </w:pPr>
    </w:p>
    <w:p>
      <w:pPr>
        <w:adjustRightInd w:val="0"/>
        <w:snapToGrid w:val="0"/>
        <w:spacing w:line="440" w:lineRule="atLeast"/>
        <w:jc w:val="center"/>
        <w:rPr>
          <w:b/>
          <w:bCs/>
          <w:sz w:val="32"/>
          <w:szCs w:val="32"/>
        </w:rPr>
      </w:pPr>
    </w:p>
    <w:p>
      <w:pPr>
        <w:adjustRightInd w:val="0"/>
        <w:snapToGrid w:val="0"/>
        <w:spacing w:line="440" w:lineRule="atLeast"/>
        <w:jc w:val="center"/>
        <w:rPr>
          <w:b/>
          <w:bCs/>
          <w:sz w:val="32"/>
          <w:szCs w:val="32"/>
        </w:rPr>
      </w:pPr>
    </w:p>
    <w:p>
      <w:pPr>
        <w:adjustRightInd w:val="0"/>
        <w:snapToGrid w:val="0"/>
        <w:spacing w:line="440" w:lineRule="atLeast"/>
        <w:jc w:val="center"/>
        <w:rPr>
          <w:bCs/>
          <w:sz w:val="28"/>
          <w:szCs w:val="32"/>
        </w:rPr>
      </w:pPr>
    </w:p>
    <w:p>
      <w:pPr>
        <w:adjustRightInd w:val="0"/>
        <w:snapToGrid w:val="0"/>
        <w:spacing w:line="440" w:lineRule="atLeast"/>
        <w:jc w:val="center"/>
        <w:rPr>
          <w:bCs/>
          <w:sz w:val="28"/>
          <w:szCs w:val="32"/>
        </w:rPr>
      </w:pPr>
    </w:p>
    <w:p>
      <w:pPr>
        <w:adjustRightInd w:val="0"/>
        <w:snapToGrid w:val="0"/>
        <w:spacing w:line="440" w:lineRule="atLeast"/>
        <w:jc w:val="center"/>
        <w:rPr>
          <w:bCs/>
          <w:sz w:val="28"/>
          <w:szCs w:val="32"/>
        </w:rPr>
      </w:pPr>
    </w:p>
    <w:p>
      <w:pPr>
        <w:pBdr>
          <w:bottom w:val="single" w:color="auto" w:sz="6" w:space="1"/>
        </w:pBdr>
        <w:adjustRightInd w:val="0"/>
        <w:snapToGrid w:val="0"/>
        <w:spacing w:line="440" w:lineRule="atLeast"/>
        <w:jc w:val="left"/>
        <w:rPr>
          <w:bCs/>
          <w:sz w:val="28"/>
          <w:szCs w:val="32"/>
        </w:rPr>
      </w:pPr>
      <w:r>
        <w:rPr>
          <w:b/>
          <w:bCs/>
          <w:sz w:val="28"/>
          <w:szCs w:val="32"/>
        </w:rPr>
        <w:t>20</w:t>
      </w:r>
      <w:r>
        <w:rPr>
          <w:rFonts w:hint="eastAsia"/>
          <w:b/>
          <w:bCs/>
          <w:sz w:val="28"/>
          <w:szCs w:val="32"/>
        </w:rPr>
        <w:t>20</w:t>
      </w:r>
      <w:r>
        <w:rPr>
          <w:b/>
          <w:bCs/>
          <w:sz w:val="28"/>
          <w:szCs w:val="32"/>
        </w:rPr>
        <w:t>-</w:t>
      </w:r>
      <w:r>
        <w:rPr>
          <w:rFonts w:hint="eastAsia"/>
          <w:b/>
          <w:bCs/>
          <w:sz w:val="28"/>
          <w:szCs w:val="32"/>
          <w:lang w:val="en-US" w:eastAsia="zh-CN"/>
        </w:rPr>
        <w:t>8</w:t>
      </w:r>
      <w:r>
        <w:rPr>
          <w:b/>
          <w:bCs/>
          <w:sz w:val="28"/>
          <w:szCs w:val="32"/>
        </w:rPr>
        <w:t>-</w:t>
      </w:r>
      <w:r>
        <w:rPr>
          <w:rFonts w:hint="eastAsia"/>
          <w:b/>
          <w:bCs/>
          <w:sz w:val="28"/>
          <w:szCs w:val="32"/>
          <w:lang w:val="en-US" w:eastAsia="zh-CN"/>
        </w:rPr>
        <w:t>8</w:t>
      </w:r>
      <w:r>
        <w:rPr>
          <w:rFonts w:hint="eastAsia"/>
          <w:bCs/>
          <w:sz w:val="28"/>
          <w:szCs w:val="32"/>
        </w:rPr>
        <w:t xml:space="preserve"> </w:t>
      </w:r>
      <w:r>
        <w:rPr>
          <w:rFonts w:hint="eastAsia"/>
          <w:b/>
          <w:bCs/>
          <w:sz w:val="28"/>
          <w:szCs w:val="32"/>
        </w:rPr>
        <w:t xml:space="preserve"> 发布  </w:t>
      </w:r>
      <w:r>
        <w:rPr>
          <w:rFonts w:hint="eastAsia"/>
          <w:bCs/>
          <w:sz w:val="28"/>
          <w:szCs w:val="32"/>
        </w:rPr>
        <w:t xml:space="preserve">                                  </w:t>
      </w:r>
      <w:r>
        <w:rPr>
          <w:b/>
          <w:bCs/>
          <w:sz w:val="28"/>
          <w:szCs w:val="32"/>
        </w:rPr>
        <w:t>20</w:t>
      </w:r>
      <w:r>
        <w:rPr>
          <w:rFonts w:hint="eastAsia"/>
          <w:b/>
          <w:bCs/>
          <w:sz w:val="28"/>
          <w:szCs w:val="32"/>
        </w:rPr>
        <w:t>20</w:t>
      </w:r>
      <w:r>
        <w:rPr>
          <w:b/>
          <w:bCs/>
          <w:sz w:val="28"/>
          <w:szCs w:val="32"/>
        </w:rPr>
        <w:t>-</w:t>
      </w:r>
      <w:r>
        <w:rPr>
          <w:rFonts w:hint="eastAsia"/>
          <w:b/>
          <w:bCs/>
          <w:sz w:val="28"/>
          <w:szCs w:val="32"/>
          <w:lang w:val="en-US" w:eastAsia="zh-CN"/>
        </w:rPr>
        <w:t>11</w:t>
      </w:r>
      <w:r>
        <w:rPr>
          <w:b/>
          <w:bCs/>
          <w:sz w:val="28"/>
          <w:szCs w:val="32"/>
        </w:rPr>
        <w:t>-</w:t>
      </w:r>
      <w:r>
        <w:rPr>
          <w:rFonts w:hint="eastAsia"/>
          <w:b/>
          <w:bCs/>
          <w:sz w:val="28"/>
          <w:szCs w:val="32"/>
          <w:lang w:val="en-US" w:eastAsia="zh-CN"/>
        </w:rPr>
        <w:t>1</w:t>
      </w:r>
      <w:r>
        <w:rPr>
          <w:rFonts w:hint="eastAsia"/>
          <w:bCs/>
          <w:sz w:val="28"/>
          <w:szCs w:val="32"/>
        </w:rPr>
        <w:t xml:space="preserve"> </w:t>
      </w:r>
      <w:r>
        <w:rPr>
          <w:rFonts w:hint="eastAsia"/>
          <w:b/>
          <w:bCs/>
          <w:sz w:val="28"/>
          <w:szCs w:val="32"/>
        </w:rPr>
        <w:t xml:space="preserve"> 实施</w:t>
      </w:r>
    </w:p>
    <w:p>
      <w:pPr>
        <w:adjustRightInd w:val="0"/>
        <w:snapToGrid w:val="0"/>
        <w:spacing w:line="440" w:lineRule="atLeast"/>
        <w:jc w:val="center"/>
        <w:rPr>
          <w:b/>
          <w:bCs/>
          <w:sz w:val="32"/>
          <w:szCs w:val="32"/>
        </w:rPr>
      </w:pPr>
    </w:p>
    <w:p>
      <w:pPr>
        <w:adjustRightInd w:val="0"/>
        <w:snapToGrid w:val="0"/>
        <w:spacing w:line="440" w:lineRule="atLeast"/>
        <w:jc w:val="center"/>
        <w:rPr>
          <w:b/>
          <w:bCs/>
          <w:sz w:val="32"/>
          <w:szCs w:val="32"/>
        </w:rPr>
      </w:pPr>
    </w:p>
    <w:p>
      <w:pPr>
        <w:adjustRightInd w:val="0"/>
        <w:snapToGrid w:val="0"/>
        <w:spacing w:line="440" w:lineRule="atLeast"/>
        <w:jc w:val="center"/>
        <w:rPr>
          <w:b/>
          <w:bCs/>
          <w:sz w:val="32"/>
          <w:szCs w:val="32"/>
        </w:rPr>
      </w:pPr>
    </w:p>
    <w:p>
      <w:pPr>
        <w:adjustRightInd w:val="0"/>
        <w:snapToGrid w:val="0"/>
        <w:spacing w:line="440" w:lineRule="atLeast"/>
        <w:jc w:val="center"/>
        <w:rPr>
          <w:b/>
          <w:bCs/>
          <w:sz w:val="32"/>
          <w:szCs w:val="32"/>
        </w:rPr>
      </w:pPr>
      <w:r>
        <w:rPr>
          <w:b/>
          <w:bCs/>
          <w:sz w:val="36"/>
          <w:szCs w:val="32"/>
        </w:rPr>
        <w:t>广西壮族自治区住房和城乡建设厅 发布</w:t>
      </w:r>
      <w:bookmarkStart w:id="80" w:name="_GoBack"/>
      <w:bookmarkEnd w:id="80"/>
      <w:r>
        <w:rPr>
          <w:b/>
          <w:bCs/>
          <w:sz w:val="32"/>
          <w:szCs w:val="32"/>
        </w:rPr>
        <w:br w:type="page"/>
      </w:r>
    </w:p>
    <w:p>
      <w:pPr>
        <w:adjustRightInd w:val="0"/>
        <w:snapToGrid w:val="0"/>
        <w:spacing w:line="440" w:lineRule="atLeast"/>
        <w:jc w:val="center"/>
        <w:rPr>
          <w:b/>
          <w:bCs/>
          <w:sz w:val="32"/>
          <w:szCs w:val="32"/>
        </w:rPr>
      </w:pPr>
      <w:r>
        <w:rPr>
          <w:b/>
          <w:bCs/>
          <w:sz w:val="32"/>
          <w:szCs w:val="32"/>
        </w:rPr>
        <w:t>前  言</w:t>
      </w:r>
    </w:p>
    <w:p>
      <w:pPr>
        <w:adjustRightInd w:val="0"/>
        <w:snapToGrid w:val="0"/>
        <w:spacing w:line="440" w:lineRule="atLeast"/>
        <w:ind w:firstLine="480" w:firstLineChars="200"/>
        <w:rPr>
          <w:bCs/>
          <w:sz w:val="24"/>
          <w:szCs w:val="24"/>
        </w:rPr>
      </w:pPr>
      <w:r>
        <w:rPr>
          <w:rFonts w:hint="eastAsia"/>
          <w:bCs/>
          <w:sz w:val="24"/>
          <w:szCs w:val="24"/>
        </w:rPr>
        <w:t>为统一我区建筑电气线路绝缘电阻、接地电阻的检测方法，保障建筑电气系统和防雷系统的安全可靠，规范检测方法，制定本规程。</w:t>
      </w:r>
    </w:p>
    <w:p>
      <w:pPr>
        <w:adjustRightInd w:val="0"/>
        <w:snapToGrid w:val="0"/>
        <w:spacing w:line="440" w:lineRule="atLeast"/>
        <w:ind w:firstLine="480" w:firstLineChars="200"/>
        <w:rPr>
          <w:bCs/>
          <w:sz w:val="24"/>
          <w:szCs w:val="24"/>
        </w:rPr>
      </w:pPr>
      <w:r>
        <w:rPr>
          <w:rFonts w:hint="eastAsia"/>
          <w:bCs/>
          <w:sz w:val="24"/>
          <w:szCs w:val="24"/>
        </w:rPr>
        <w:t>本规程在编制过程中，规程编制组经广泛调查研究，认真总结实践经验，参考有关国内外先进标准，并在广泛征求意见的基础上，最后经审查定稿。</w:t>
      </w:r>
    </w:p>
    <w:p>
      <w:pPr>
        <w:adjustRightInd w:val="0"/>
        <w:snapToGrid w:val="0"/>
        <w:spacing w:line="440" w:lineRule="atLeast"/>
        <w:ind w:firstLine="480" w:firstLineChars="200"/>
        <w:rPr>
          <w:bCs/>
          <w:sz w:val="24"/>
          <w:szCs w:val="24"/>
        </w:rPr>
      </w:pPr>
      <w:r>
        <w:rPr>
          <w:rFonts w:hint="eastAsia"/>
          <w:bCs/>
          <w:sz w:val="24"/>
          <w:szCs w:val="24"/>
        </w:rPr>
        <w:t>本规程共</w:t>
      </w:r>
      <w:r>
        <w:rPr>
          <w:bCs/>
          <w:sz w:val="24"/>
          <w:szCs w:val="24"/>
        </w:rPr>
        <w:t>5</w:t>
      </w:r>
      <w:r>
        <w:rPr>
          <w:rFonts w:hint="eastAsia"/>
          <w:bCs/>
          <w:sz w:val="24"/>
          <w:szCs w:val="24"/>
        </w:rPr>
        <w:t>章和2个附录，主要内容包括：总则、术语、基本规定、绝缘电阻检测、接地电阻检测等。</w:t>
      </w:r>
    </w:p>
    <w:p>
      <w:pPr>
        <w:adjustRightInd w:val="0"/>
        <w:snapToGrid w:val="0"/>
        <w:spacing w:line="440" w:lineRule="atLeast"/>
        <w:ind w:firstLine="480" w:firstLineChars="200"/>
        <w:rPr>
          <w:bCs/>
          <w:sz w:val="24"/>
          <w:szCs w:val="24"/>
        </w:rPr>
      </w:pPr>
      <w:r>
        <w:rPr>
          <w:rFonts w:hint="eastAsia"/>
          <w:bCs/>
          <w:sz w:val="24"/>
          <w:szCs w:val="24"/>
        </w:rPr>
        <w:t>本规程由广西住房和城乡建设厅负责管理，由广西祥明工程检测咨询有限责任公司负责具体技术内容的解释。执行过程中如有意见和建议，请将有关意见和建议寄送至广西祥明工程检测咨询有限责任公司</w:t>
      </w:r>
      <w:r>
        <w:rPr>
          <w:bCs/>
          <w:sz w:val="24"/>
          <w:szCs w:val="24"/>
        </w:rPr>
        <w:t>(</w:t>
      </w:r>
      <w:r>
        <w:rPr>
          <w:rFonts w:hint="eastAsia"/>
          <w:bCs/>
          <w:sz w:val="24"/>
          <w:szCs w:val="24"/>
        </w:rPr>
        <w:t>地址：南宁市江南区那洪大道</w:t>
      </w:r>
      <w:r>
        <w:rPr>
          <w:bCs/>
          <w:sz w:val="24"/>
          <w:szCs w:val="24"/>
        </w:rPr>
        <w:t>12</w:t>
      </w:r>
      <w:r>
        <w:rPr>
          <w:rFonts w:hint="eastAsia"/>
          <w:bCs/>
          <w:sz w:val="24"/>
          <w:szCs w:val="24"/>
        </w:rPr>
        <w:t>号，邮编：</w:t>
      </w:r>
      <w:r>
        <w:rPr>
          <w:bCs/>
          <w:sz w:val="24"/>
          <w:szCs w:val="24"/>
        </w:rPr>
        <w:t>530033)</w:t>
      </w:r>
      <w:r>
        <w:rPr>
          <w:rFonts w:hint="eastAsia"/>
          <w:bCs/>
          <w:sz w:val="24"/>
          <w:szCs w:val="24"/>
        </w:rPr>
        <w:t>，以供下次修订时参考。</w:t>
      </w:r>
    </w:p>
    <w:p>
      <w:pPr>
        <w:adjustRightInd w:val="0"/>
        <w:snapToGrid w:val="0"/>
        <w:spacing w:line="440" w:lineRule="atLeast"/>
        <w:ind w:firstLine="482" w:firstLineChars="200"/>
        <w:rPr>
          <w:bCs/>
          <w:sz w:val="24"/>
          <w:szCs w:val="24"/>
        </w:rPr>
      </w:pPr>
      <w:r>
        <w:rPr>
          <w:rFonts w:hint="eastAsia"/>
          <w:b/>
          <w:bCs/>
          <w:sz w:val="24"/>
          <w:szCs w:val="24"/>
        </w:rPr>
        <w:t>本规程</w:t>
      </w:r>
      <w:r>
        <w:rPr>
          <w:b/>
          <w:bCs/>
          <w:sz w:val="24"/>
          <w:szCs w:val="24"/>
        </w:rPr>
        <w:t>主编单位：</w:t>
      </w:r>
      <w:r>
        <w:rPr>
          <w:rFonts w:hint="eastAsia"/>
          <w:b/>
          <w:bCs/>
          <w:sz w:val="24"/>
          <w:szCs w:val="24"/>
        </w:rPr>
        <w:t xml:space="preserve"> </w:t>
      </w:r>
      <w:r>
        <w:rPr>
          <w:rFonts w:hint="eastAsia"/>
          <w:bCs/>
          <w:sz w:val="24"/>
          <w:szCs w:val="24"/>
        </w:rPr>
        <w:t>广西祥明工程检测咨询有限责任公司</w:t>
      </w:r>
    </w:p>
    <w:p>
      <w:pPr>
        <w:adjustRightInd w:val="0"/>
        <w:snapToGrid w:val="0"/>
        <w:spacing w:line="440" w:lineRule="atLeast"/>
        <w:ind w:firstLine="482" w:firstLineChars="200"/>
        <w:rPr>
          <w:bCs/>
          <w:sz w:val="24"/>
          <w:szCs w:val="24"/>
        </w:rPr>
      </w:pPr>
      <w:r>
        <w:rPr>
          <w:rFonts w:hint="eastAsia"/>
          <w:b/>
          <w:bCs/>
          <w:sz w:val="24"/>
          <w:szCs w:val="24"/>
        </w:rPr>
        <w:t>本规程</w:t>
      </w:r>
      <w:r>
        <w:rPr>
          <w:b/>
          <w:bCs/>
          <w:sz w:val="24"/>
          <w:szCs w:val="24"/>
        </w:rPr>
        <w:t>参编单位：</w:t>
      </w:r>
      <w:r>
        <w:rPr>
          <w:rFonts w:hint="eastAsia"/>
          <w:b/>
          <w:bCs/>
          <w:sz w:val="24"/>
          <w:szCs w:val="24"/>
        </w:rPr>
        <w:t xml:space="preserve"> </w:t>
      </w:r>
      <w:r>
        <w:rPr>
          <w:rFonts w:hint="eastAsia"/>
          <w:bCs/>
          <w:sz w:val="24"/>
          <w:szCs w:val="24"/>
        </w:rPr>
        <w:t>广西万众</w:t>
      </w:r>
      <w:r>
        <w:rPr>
          <w:bCs/>
          <w:sz w:val="24"/>
          <w:szCs w:val="24"/>
        </w:rPr>
        <w:t>工程检测有限公司</w:t>
      </w:r>
    </w:p>
    <w:p>
      <w:pPr>
        <w:adjustRightInd w:val="0"/>
        <w:snapToGrid w:val="0"/>
        <w:spacing w:line="440" w:lineRule="atLeast"/>
        <w:ind w:firstLine="2520" w:firstLineChars="1050"/>
        <w:rPr>
          <w:bCs/>
          <w:sz w:val="24"/>
          <w:szCs w:val="24"/>
        </w:rPr>
      </w:pPr>
      <w:r>
        <w:rPr>
          <w:rFonts w:hint="eastAsia"/>
          <w:bCs/>
          <w:sz w:val="24"/>
          <w:szCs w:val="24"/>
        </w:rPr>
        <w:t>南宁市建筑设计院</w:t>
      </w:r>
    </w:p>
    <w:p>
      <w:pPr>
        <w:adjustRightInd w:val="0"/>
        <w:snapToGrid w:val="0"/>
        <w:spacing w:line="440" w:lineRule="atLeast"/>
        <w:ind w:firstLine="2520" w:firstLineChars="1050"/>
        <w:rPr>
          <w:bCs/>
          <w:sz w:val="24"/>
          <w:szCs w:val="24"/>
        </w:rPr>
      </w:pPr>
      <w:r>
        <w:rPr>
          <w:rFonts w:hint="eastAsia"/>
          <w:bCs/>
          <w:sz w:val="24"/>
          <w:szCs w:val="24"/>
        </w:rPr>
        <w:t>中国建筑第二工程局有限公司</w:t>
      </w:r>
    </w:p>
    <w:p>
      <w:pPr>
        <w:adjustRightInd w:val="0"/>
        <w:snapToGrid w:val="0"/>
        <w:spacing w:line="440" w:lineRule="atLeast"/>
        <w:ind w:firstLine="2520" w:firstLineChars="1050"/>
        <w:rPr>
          <w:bCs/>
          <w:sz w:val="24"/>
          <w:szCs w:val="24"/>
        </w:rPr>
      </w:pPr>
      <w:r>
        <w:rPr>
          <w:rFonts w:hint="eastAsia"/>
          <w:bCs/>
          <w:sz w:val="24"/>
          <w:szCs w:val="24"/>
        </w:rPr>
        <w:t>广西土木勘察检测治理有限公司</w:t>
      </w:r>
    </w:p>
    <w:p>
      <w:pPr>
        <w:adjustRightInd w:val="0"/>
        <w:snapToGrid w:val="0"/>
        <w:spacing w:line="440" w:lineRule="atLeast"/>
        <w:ind w:firstLine="2520"/>
        <w:rPr>
          <w:bCs/>
          <w:sz w:val="24"/>
          <w:szCs w:val="24"/>
        </w:rPr>
      </w:pPr>
      <w:r>
        <w:rPr>
          <w:rFonts w:hint="eastAsia"/>
          <w:bCs/>
          <w:sz w:val="24"/>
          <w:szCs w:val="24"/>
        </w:rPr>
        <w:t xml:space="preserve">广西建设职业技术学院 </w:t>
      </w:r>
    </w:p>
    <w:p>
      <w:pPr>
        <w:adjustRightInd w:val="0"/>
        <w:snapToGrid w:val="0"/>
        <w:spacing w:line="440" w:lineRule="atLeast"/>
        <w:ind w:firstLine="2400" w:firstLineChars="1000"/>
        <w:rPr>
          <w:bCs/>
          <w:sz w:val="24"/>
          <w:szCs w:val="24"/>
        </w:rPr>
      </w:pPr>
    </w:p>
    <w:p>
      <w:pPr>
        <w:tabs>
          <w:tab w:val="left" w:pos="3119"/>
          <w:tab w:val="left" w:pos="3686"/>
        </w:tabs>
        <w:adjustRightInd w:val="0"/>
        <w:snapToGrid w:val="0"/>
        <w:spacing w:line="440" w:lineRule="atLeast"/>
        <w:ind w:left="2647" w:leftChars="228" w:hanging="2168" w:hangingChars="900"/>
        <w:rPr>
          <w:bCs/>
          <w:sz w:val="24"/>
          <w:szCs w:val="24"/>
        </w:rPr>
      </w:pPr>
      <w:r>
        <w:rPr>
          <w:rFonts w:hint="eastAsia"/>
          <w:b/>
          <w:bCs/>
          <w:sz w:val="24"/>
          <w:szCs w:val="24"/>
        </w:rPr>
        <w:t>本规程</w:t>
      </w:r>
      <w:r>
        <w:rPr>
          <w:b/>
          <w:bCs/>
          <w:sz w:val="24"/>
          <w:szCs w:val="24"/>
        </w:rPr>
        <w:t>主要起草人员：</w:t>
      </w:r>
      <w:r>
        <w:rPr>
          <w:rFonts w:hint="eastAsia"/>
          <w:bCs/>
          <w:sz w:val="24"/>
          <w:szCs w:val="24"/>
        </w:rPr>
        <w:t>滕  冰  廖有芳  蒋玉治  滕云志  青大凯  苏东山</w:t>
      </w:r>
    </w:p>
    <w:p>
      <w:pPr>
        <w:adjustRightInd w:val="0"/>
        <w:snapToGrid w:val="0"/>
        <w:spacing w:line="440" w:lineRule="atLeast"/>
        <w:ind w:firstLine="1132" w:firstLineChars="472"/>
        <w:rPr>
          <w:bCs/>
          <w:sz w:val="24"/>
          <w:szCs w:val="24"/>
        </w:rPr>
      </w:pPr>
      <w:r>
        <w:rPr>
          <w:rFonts w:hint="eastAsia"/>
          <w:bCs/>
          <w:sz w:val="24"/>
          <w:szCs w:val="24"/>
        </w:rPr>
        <w:t xml:space="preserve">               梁  平</w:t>
      </w:r>
      <w:r>
        <w:rPr>
          <w:rFonts w:hint="eastAsia"/>
          <w:bCs/>
          <w:color w:val="FF0000"/>
          <w:sz w:val="24"/>
          <w:szCs w:val="24"/>
        </w:rPr>
        <w:t xml:space="preserve">  </w:t>
      </w:r>
      <w:r>
        <w:rPr>
          <w:rFonts w:hint="eastAsia"/>
          <w:bCs/>
          <w:sz w:val="24"/>
          <w:szCs w:val="24"/>
        </w:rPr>
        <w:t xml:space="preserve">李  玲  胡  劲  刘理洲  蒋明学  冯江泉  </w:t>
      </w:r>
    </w:p>
    <w:p>
      <w:pPr>
        <w:adjustRightInd w:val="0"/>
        <w:snapToGrid w:val="0"/>
        <w:spacing w:line="440" w:lineRule="atLeast"/>
        <w:ind w:firstLine="2954" w:firstLineChars="1231"/>
        <w:rPr>
          <w:bCs/>
          <w:sz w:val="24"/>
          <w:szCs w:val="24"/>
        </w:rPr>
      </w:pPr>
      <w:r>
        <w:rPr>
          <w:rFonts w:hint="eastAsia"/>
          <w:bCs/>
          <w:sz w:val="24"/>
          <w:szCs w:val="24"/>
        </w:rPr>
        <w:t>何  创  陈学英  谢军初  刘德育  姚杏芬</w:t>
      </w:r>
      <w:r>
        <w:rPr>
          <w:bCs/>
          <w:sz w:val="24"/>
          <w:szCs w:val="24"/>
        </w:rPr>
        <w:t xml:space="preserve"> </w:t>
      </w:r>
      <w:r>
        <w:rPr>
          <w:rFonts w:hint="eastAsia"/>
          <w:bCs/>
          <w:sz w:val="24"/>
          <w:szCs w:val="24"/>
        </w:rPr>
        <w:t xml:space="preserve"> 靳丽莉                        </w:t>
      </w:r>
    </w:p>
    <w:p>
      <w:pPr>
        <w:adjustRightInd w:val="0"/>
        <w:snapToGrid w:val="0"/>
        <w:spacing w:line="440" w:lineRule="atLeast"/>
        <w:ind w:firstLine="480" w:firstLineChars="200"/>
        <w:rPr>
          <w:bCs/>
          <w:sz w:val="24"/>
          <w:szCs w:val="24"/>
        </w:rPr>
      </w:pPr>
      <w:r>
        <w:rPr>
          <w:rFonts w:hint="eastAsia"/>
          <w:bCs/>
          <w:sz w:val="24"/>
          <w:szCs w:val="24"/>
        </w:rPr>
        <w:t xml:space="preserve">                       </w:t>
      </w:r>
    </w:p>
    <w:p>
      <w:pPr>
        <w:adjustRightInd w:val="0"/>
        <w:snapToGrid w:val="0"/>
        <w:spacing w:line="440" w:lineRule="atLeast"/>
        <w:ind w:firstLine="480" w:firstLineChars="200"/>
        <w:rPr>
          <w:bCs/>
          <w:sz w:val="24"/>
          <w:szCs w:val="24"/>
        </w:rPr>
      </w:pPr>
    </w:p>
    <w:p>
      <w:pPr>
        <w:adjustRightInd w:val="0"/>
        <w:snapToGrid w:val="0"/>
        <w:spacing w:line="440" w:lineRule="atLeast"/>
        <w:ind w:firstLine="2880" w:firstLineChars="1200"/>
        <w:rPr>
          <w:bCs/>
          <w:sz w:val="24"/>
          <w:szCs w:val="24"/>
        </w:rPr>
      </w:pPr>
    </w:p>
    <w:p>
      <w:pPr>
        <w:adjustRightInd w:val="0"/>
        <w:snapToGrid w:val="0"/>
        <w:spacing w:line="440" w:lineRule="atLeast"/>
        <w:ind w:firstLine="482" w:firstLineChars="200"/>
        <w:rPr>
          <w:bCs/>
          <w:sz w:val="24"/>
          <w:szCs w:val="24"/>
        </w:rPr>
      </w:pPr>
      <w:r>
        <w:rPr>
          <w:rFonts w:hint="eastAsia"/>
          <w:b/>
          <w:bCs/>
          <w:sz w:val="24"/>
          <w:szCs w:val="24"/>
        </w:rPr>
        <w:t>本规程</w:t>
      </w:r>
      <w:r>
        <w:rPr>
          <w:b/>
          <w:bCs/>
          <w:sz w:val="24"/>
          <w:szCs w:val="24"/>
        </w:rPr>
        <w:t>主要审查人员</w:t>
      </w:r>
      <w:r>
        <w:rPr>
          <w:bCs/>
          <w:sz w:val="24"/>
          <w:szCs w:val="24"/>
        </w:rPr>
        <w:t>：</w:t>
      </w:r>
      <w:r>
        <w:rPr>
          <w:rFonts w:hint="eastAsia"/>
          <w:bCs/>
          <w:sz w:val="24"/>
          <w:szCs w:val="24"/>
        </w:rPr>
        <w:t>陈肖梅、谢鸿卫、仇芸、苏志、林开平</w:t>
      </w:r>
    </w:p>
    <w:p>
      <w:pPr>
        <w:adjustRightInd w:val="0"/>
        <w:snapToGrid w:val="0"/>
        <w:spacing w:line="440" w:lineRule="atLeast"/>
        <w:ind w:firstLine="480" w:firstLineChars="200"/>
        <w:jc w:val="center"/>
        <w:rPr>
          <w:bCs/>
          <w:sz w:val="32"/>
          <w:szCs w:val="32"/>
        </w:rPr>
      </w:pPr>
      <w:r>
        <w:rPr>
          <w:bCs/>
          <w:sz w:val="24"/>
          <w:szCs w:val="24"/>
        </w:rPr>
        <w:br w:type="page"/>
      </w:r>
      <w:r>
        <w:rPr>
          <w:bCs/>
          <w:sz w:val="32"/>
          <w:szCs w:val="32"/>
        </w:rPr>
        <w:t xml:space="preserve">目  </w:t>
      </w:r>
      <w:r>
        <w:rPr>
          <w:rFonts w:hint="eastAsia"/>
          <w:bCs/>
          <w:sz w:val="32"/>
          <w:szCs w:val="32"/>
        </w:rPr>
        <w:t>次</w:t>
      </w:r>
    </w:p>
    <w:p>
      <w:pPr>
        <w:adjustRightInd w:val="0"/>
        <w:snapToGrid w:val="0"/>
        <w:spacing w:line="440" w:lineRule="atLeast"/>
        <w:ind w:firstLine="480" w:firstLineChars="200"/>
        <w:jc w:val="center"/>
        <w:rPr>
          <w:bCs/>
          <w:sz w:val="24"/>
          <w:szCs w:val="24"/>
        </w:rPr>
      </w:pPr>
    </w:p>
    <w:p>
      <w:pPr>
        <w:pStyle w:val="21"/>
        <w:spacing w:line="360" w:lineRule="auto"/>
        <w:rPr>
          <w:rFonts w:asciiTheme="minorHAnsi" w:hAnsiTheme="minorHAnsi" w:eastAsiaTheme="minorEastAsia" w:cstheme="minorBidi"/>
          <w:sz w:val="24"/>
          <w:szCs w:val="24"/>
        </w:rPr>
      </w:pPr>
      <w:r>
        <w:rPr>
          <w:rFonts w:asciiTheme="minorEastAsia" w:hAnsiTheme="minorEastAsia" w:eastAsiaTheme="minorEastAsia" w:cstheme="minorEastAsia"/>
          <w:sz w:val="24"/>
          <w:szCs w:val="24"/>
        </w:rPr>
        <w:fldChar w:fldCharType="begin"/>
      </w:r>
      <w:r>
        <w:rPr>
          <w:rFonts w:asciiTheme="minorEastAsia" w:hAnsiTheme="minorEastAsia" w:eastAsiaTheme="minorEastAsia" w:cstheme="minorEastAsia"/>
          <w:sz w:val="24"/>
          <w:szCs w:val="24"/>
        </w:rPr>
        <w:instrText xml:space="preserve"> TOC \o "1-3" \h \z \u </w:instrText>
      </w:r>
      <w:r>
        <w:rPr>
          <w:rFonts w:asciiTheme="minorEastAsia" w:hAnsiTheme="minorEastAsia" w:eastAsiaTheme="minorEastAsia" w:cstheme="minorEastAsia"/>
          <w:sz w:val="24"/>
          <w:szCs w:val="24"/>
        </w:rPr>
        <w:fldChar w:fldCharType="separate"/>
      </w:r>
      <w:r>
        <w:fldChar w:fldCharType="begin"/>
      </w:r>
      <w:r>
        <w:instrText xml:space="preserve"> HYPERLINK \l "_Toc43819614" </w:instrText>
      </w:r>
      <w:r>
        <w:fldChar w:fldCharType="separate"/>
      </w:r>
      <w:r>
        <w:rPr>
          <w:rStyle w:val="33"/>
          <w:sz w:val="24"/>
          <w:szCs w:val="24"/>
        </w:rPr>
        <w:t xml:space="preserve">1  </w:t>
      </w:r>
      <w:r>
        <w:rPr>
          <w:rStyle w:val="33"/>
          <w:rFonts w:hint="eastAsia"/>
          <w:sz w:val="24"/>
          <w:szCs w:val="24"/>
        </w:rPr>
        <w:t>总</w:t>
      </w:r>
      <w:r>
        <w:rPr>
          <w:rStyle w:val="33"/>
          <w:sz w:val="24"/>
          <w:szCs w:val="24"/>
        </w:rPr>
        <w:t xml:space="preserve">  </w:t>
      </w:r>
      <w:r>
        <w:rPr>
          <w:rStyle w:val="33"/>
          <w:rFonts w:hint="eastAsia"/>
          <w:sz w:val="24"/>
          <w:szCs w:val="24"/>
        </w:rPr>
        <w:t>则</w:t>
      </w:r>
      <w:r>
        <w:rPr>
          <w:sz w:val="24"/>
          <w:szCs w:val="24"/>
        </w:rPr>
        <w:tab/>
      </w:r>
      <w:r>
        <w:rPr>
          <w:sz w:val="24"/>
          <w:szCs w:val="24"/>
        </w:rPr>
        <w:fldChar w:fldCharType="begin"/>
      </w:r>
      <w:r>
        <w:rPr>
          <w:sz w:val="24"/>
          <w:szCs w:val="24"/>
        </w:rPr>
        <w:instrText xml:space="preserve"> PAGEREF _Toc43819614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21"/>
        <w:spacing w:line="360" w:lineRule="auto"/>
        <w:rPr>
          <w:rFonts w:asciiTheme="minorHAnsi" w:hAnsiTheme="minorHAnsi" w:eastAsiaTheme="minorEastAsia" w:cstheme="minorBidi"/>
          <w:sz w:val="24"/>
          <w:szCs w:val="24"/>
        </w:rPr>
      </w:pPr>
      <w:r>
        <w:fldChar w:fldCharType="begin"/>
      </w:r>
      <w:r>
        <w:instrText xml:space="preserve"> HYPERLINK \l "_Toc43819615" </w:instrText>
      </w:r>
      <w:r>
        <w:fldChar w:fldCharType="separate"/>
      </w:r>
      <w:r>
        <w:rPr>
          <w:rStyle w:val="33"/>
          <w:sz w:val="24"/>
          <w:szCs w:val="24"/>
        </w:rPr>
        <w:t xml:space="preserve">2  </w:t>
      </w:r>
      <w:r>
        <w:rPr>
          <w:rStyle w:val="33"/>
          <w:rFonts w:hint="eastAsia"/>
          <w:sz w:val="24"/>
          <w:szCs w:val="24"/>
        </w:rPr>
        <w:t>术</w:t>
      </w:r>
      <w:r>
        <w:rPr>
          <w:rStyle w:val="33"/>
          <w:sz w:val="24"/>
          <w:szCs w:val="24"/>
        </w:rPr>
        <w:t xml:space="preserve">  </w:t>
      </w:r>
      <w:r>
        <w:rPr>
          <w:rStyle w:val="33"/>
          <w:rFonts w:hint="eastAsia"/>
          <w:sz w:val="24"/>
          <w:szCs w:val="24"/>
        </w:rPr>
        <w:t>语</w:t>
      </w:r>
      <w:r>
        <w:rPr>
          <w:sz w:val="24"/>
          <w:szCs w:val="24"/>
        </w:rPr>
        <w:tab/>
      </w:r>
      <w:r>
        <w:rPr>
          <w:sz w:val="24"/>
          <w:szCs w:val="24"/>
        </w:rPr>
        <w:fldChar w:fldCharType="begin"/>
      </w:r>
      <w:r>
        <w:rPr>
          <w:sz w:val="24"/>
          <w:szCs w:val="24"/>
        </w:rPr>
        <w:instrText xml:space="preserve"> PAGEREF _Toc43819615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21"/>
        <w:spacing w:line="360" w:lineRule="auto"/>
        <w:rPr>
          <w:rFonts w:asciiTheme="minorHAnsi" w:hAnsiTheme="minorHAnsi" w:eastAsiaTheme="minorEastAsia" w:cstheme="minorBidi"/>
          <w:sz w:val="24"/>
          <w:szCs w:val="24"/>
        </w:rPr>
      </w:pPr>
      <w:r>
        <w:fldChar w:fldCharType="begin"/>
      </w:r>
      <w:r>
        <w:instrText xml:space="preserve"> HYPERLINK \l "_Toc43819616" </w:instrText>
      </w:r>
      <w:r>
        <w:fldChar w:fldCharType="separate"/>
      </w:r>
      <w:r>
        <w:rPr>
          <w:rStyle w:val="33"/>
          <w:sz w:val="24"/>
          <w:szCs w:val="24"/>
        </w:rPr>
        <w:t xml:space="preserve">3  </w:t>
      </w:r>
      <w:r>
        <w:rPr>
          <w:rStyle w:val="33"/>
          <w:rFonts w:hint="eastAsia"/>
          <w:sz w:val="24"/>
          <w:szCs w:val="24"/>
        </w:rPr>
        <w:t>基本规定</w:t>
      </w:r>
      <w:r>
        <w:rPr>
          <w:sz w:val="24"/>
          <w:szCs w:val="24"/>
        </w:rPr>
        <w:tab/>
      </w:r>
      <w:r>
        <w:rPr>
          <w:sz w:val="24"/>
          <w:szCs w:val="24"/>
        </w:rPr>
        <w:fldChar w:fldCharType="begin"/>
      </w:r>
      <w:r>
        <w:rPr>
          <w:sz w:val="24"/>
          <w:szCs w:val="24"/>
        </w:rPr>
        <w:instrText xml:space="preserve"> PAGEREF _Toc43819616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21"/>
        <w:spacing w:line="360" w:lineRule="auto"/>
        <w:rPr>
          <w:rFonts w:asciiTheme="minorHAnsi" w:hAnsiTheme="minorHAnsi" w:eastAsiaTheme="minorEastAsia" w:cstheme="minorBidi"/>
          <w:sz w:val="24"/>
          <w:szCs w:val="24"/>
        </w:rPr>
      </w:pPr>
      <w:r>
        <w:fldChar w:fldCharType="begin"/>
      </w:r>
      <w:r>
        <w:instrText xml:space="preserve"> HYPERLINK \l "_Toc43819617" </w:instrText>
      </w:r>
      <w:r>
        <w:fldChar w:fldCharType="separate"/>
      </w:r>
      <w:r>
        <w:rPr>
          <w:rStyle w:val="33"/>
          <w:sz w:val="24"/>
          <w:szCs w:val="24"/>
        </w:rPr>
        <w:t>4</w:t>
      </w:r>
      <w:r>
        <w:rPr>
          <w:rStyle w:val="33"/>
          <w:rFonts w:hint="eastAsia"/>
          <w:sz w:val="24"/>
          <w:szCs w:val="24"/>
        </w:rPr>
        <w:t>绝缘电阻检测</w:t>
      </w:r>
      <w:r>
        <w:rPr>
          <w:sz w:val="24"/>
          <w:szCs w:val="24"/>
        </w:rPr>
        <w:tab/>
      </w:r>
      <w:r>
        <w:rPr>
          <w:sz w:val="24"/>
          <w:szCs w:val="24"/>
        </w:rPr>
        <w:fldChar w:fldCharType="begin"/>
      </w:r>
      <w:r>
        <w:rPr>
          <w:sz w:val="24"/>
          <w:szCs w:val="24"/>
        </w:rPr>
        <w:instrText xml:space="preserve"> PAGEREF _Toc43819617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24"/>
        <w:tabs>
          <w:tab w:val="right" w:leader="dot" w:pos="9175"/>
        </w:tabs>
        <w:spacing w:line="360" w:lineRule="auto"/>
        <w:rPr>
          <w:rFonts w:asciiTheme="minorHAnsi" w:hAnsiTheme="minorHAnsi" w:eastAsiaTheme="minorEastAsia" w:cstheme="minorBidi"/>
          <w:sz w:val="24"/>
        </w:rPr>
      </w:pPr>
      <w:r>
        <w:fldChar w:fldCharType="begin"/>
      </w:r>
      <w:r>
        <w:instrText xml:space="preserve"> HYPERLINK \l "_Toc43819618" </w:instrText>
      </w:r>
      <w:r>
        <w:fldChar w:fldCharType="separate"/>
      </w:r>
      <w:r>
        <w:rPr>
          <w:rStyle w:val="33"/>
          <w:sz w:val="24"/>
        </w:rPr>
        <w:t>4.1</w:t>
      </w:r>
      <w:r>
        <w:rPr>
          <w:rStyle w:val="33"/>
          <w:rFonts w:hint="eastAsia"/>
          <w:sz w:val="24"/>
        </w:rPr>
        <w:t>检测仪器</w:t>
      </w:r>
      <w:r>
        <w:rPr>
          <w:sz w:val="24"/>
        </w:rPr>
        <w:tab/>
      </w:r>
      <w:r>
        <w:rPr>
          <w:sz w:val="24"/>
        </w:rPr>
        <w:fldChar w:fldCharType="begin"/>
      </w:r>
      <w:r>
        <w:rPr>
          <w:sz w:val="24"/>
        </w:rPr>
        <w:instrText xml:space="preserve"> PAGEREF _Toc43819618 \h </w:instrText>
      </w:r>
      <w:r>
        <w:rPr>
          <w:sz w:val="24"/>
        </w:rPr>
        <w:fldChar w:fldCharType="separate"/>
      </w:r>
      <w:r>
        <w:rPr>
          <w:sz w:val="24"/>
        </w:rPr>
        <w:t>5</w:t>
      </w:r>
      <w:r>
        <w:rPr>
          <w:sz w:val="24"/>
        </w:rPr>
        <w:fldChar w:fldCharType="end"/>
      </w:r>
      <w:r>
        <w:rPr>
          <w:sz w:val="24"/>
        </w:rPr>
        <w:fldChar w:fldCharType="end"/>
      </w:r>
    </w:p>
    <w:p>
      <w:pPr>
        <w:pStyle w:val="24"/>
        <w:tabs>
          <w:tab w:val="right" w:leader="dot" w:pos="9175"/>
        </w:tabs>
        <w:spacing w:line="360" w:lineRule="auto"/>
        <w:rPr>
          <w:rFonts w:asciiTheme="minorHAnsi" w:hAnsiTheme="minorHAnsi" w:eastAsiaTheme="minorEastAsia" w:cstheme="minorBidi"/>
          <w:sz w:val="24"/>
        </w:rPr>
      </w:pPr>
      <w:r>
        <w:fldChar w:fldCharType="begin"/>
      </w:r>
      <w:r>
        <w:instrText xml:space="preserve"> HYPERLINK \l "_Toc43819619" </w:instrText>
      </w:r>
      <w:r>
        <w:fldChar w:fldCharType="separate"/>
      </w:r>
      <w:r>
        <w:rPr>
          <w:rStyle w:val="33"/>
          <w:sz w:val="24"/>
        </w:rPr>
        <w:t>4.2</w:t>
      </w:r>
      <w:r>
        <w:rPr>
          <w:rStyle w:val="33"/>
          <w:rFonts w:hint="eastAsia"/>
          <w:sz w:val="24"/>
        </w:rPr>
        <w:t>检测数量</w:t>
      </w:r>
      <w:r>
        <w:rPr>
          <w:sz w:val="24"/>
        </w:rPr>
        <w:tab/>
      </w:r>
      <w:r>
        <w:rPr>
          <w:sz w:val="24"/>
        </w:rPr>
        <w:fldChar w:fldCharType="begin"/>
      </w:r>
      <w:r>
        <w:rPr>
          <w:sz w:val="24"/>
        </w:rPr>
        <w:instrText xml:space="preserve"> PAGEREF _Toc43819619 \h </w:instrText>
      </w:r>
      <w:r>
        <w:rPr>
          <w:sz w:val="24"/>
        </w:rPr>
        <w:fldChar w:fldCharType="separate"/>
      </w:r>
      <w:r>
        <w:rPr>
          <w:sz w:val="24"/>
        </w:rPr>
        <w:t>5</w:t>
      </w:r>
      <w:r>
        <w:rPr>
          <w:sz w:val="24"/>
        </w:rPr>
        <w:fldChar w:fldCharType="end"/>
      </w:r>
      <w:r>
        <w:rPr>
          <w:sz w:val="24"/>
        </w:rPr>
        <w:fldChar w:fldCharType="end"/>
      </w:r>
    </w:p>
    <w:p>
      <w:pPr>
        <w:pStyle w:val="24"/>
        <w:tabs>
          <w:tab w:val="right" w:leader="dot" w:pos="9175"/>
        </w:tabs>
        <w:spacing w:line="360" w:lineRule="auto"/>
        <w:rPr>
          <w:rFonts w:asciiTheme="minorHAnsi" w:hAnsiTheme="minorHAnsi" w:eastAsiaTheme="minorEastAsia" w:cstheme="minorBidi"/>
          <w:sz w:val="24"/>
        </w:rPr>
      </w:pPr>
      <w:r>
        <w:fldChar w:fldCharType="begin"/>
      </w:r>
      <w:r>
        <w:instrText xml:space="preserve"> HYPERLINK \l "_Toc43819620" </w:instrText>
      </w:r>
      <w:r>
        <w:fldChar w:fldCharType="separate"/>
      </w:r>
      <w:r>
        <w:rPr>
          <w:rStyle w:val="33"/>
          <w:sz w:val="24"/>
        </w:rPr>
        <w:t>4.3</w:t>
      </w:r>
      <w:r>
        <w:rPr>
          <w:rStyle w:val="33"/>
          <w:rFonts w:hint="eastAsia"/>
          <w:sz w:val="24"/>
        </w:rPr>
        <w:t>环境条件</w:t>
      </w:r>
      <w:r>
        <w:rPr>
          <w:sz w:val="24"/>
        </w:rPr>
        <w:tab/>
      </w:r>
      <w:r>
        <w:rPr>
          <w:sz w:val="24"/>
        </w:rPr>
        <w:fldChar w:fldCharType="begin"/>
      </w:r>
      <w:r>
        <w:rPr>
          <w:sz w:val="24"/>
        </w:rPr>
        <w:instrText xml:space="preserve"> PAGEREF _Toc43819620 \h </w:instrText>
      </w:r>
      <w:r>
        <w:rPr>
          <w:sz w:val="24"/>
        </w:rPr>
        <w:fldChar w:fldCharType="separate"/>
      </w:r>
      <w:r>
        <w:rPr>
          <w:sz w:val="24"/>
        </w:rPr>
        <w:t>5</w:t>
      </w:r>
      <w:r>
        <w:rPr>
          <w:sz w:val="24"/>
        </w:rPr>
        <w:fldChar w:fldCharType="end"/>
      </w:r>
      <w:r>
        <w:rPr>
          <w:sz w:val="24"/>
        </w:rPr>
        <w:fldChar w:fldCharType="end"/>
      </w:r>
    </w:p>
    <w:p>
      <w:pPr>
        <w:pStyle w:val="24"/>
        <w:tabs>
          <w:tab w:val="right" w:leader="dot" w:pos="9175"/>
        </w:tabs>
        <w:spacing w:line="360" w:lineRule="auto"/>
        <w:rPr>
          <w:rFonts w:asciiTheme="minorHAnsi" w:hAnsiTheme="minorHAnsi" w:eastAsiaTheme="minorEastAsia" w:cstheme="minorBidi"/>
          <w:sz w:val="24"/>
        </w:rPr>
      </w:pPr>
      <w:r>
        <w:fldChar w:fldCharType="begin"/>
      </w:r>
      <w:r>
        <w:instrText xml:space="preserve"> HYPERLINK \l "_Toc43819621" </w:instrText>
      </w:r>
      <w:r>
        <w:fldChar w:fldCharType="separate"/>
      </w:r>
      <w:r>
        <w:rPr>
          <w:rStyle w:val="33"/>
          <w:sz w:val="24"/>
        </w:rPr>
        <w:t>4.4</w:t>
      </w:r>
      <w:r>
        <w:rPr>
          <w:rStyle w:val="33"/>
          <w:rFonts w:hint="eastAsia"/>
          <w:sz w:val="24"/>
        </w:rPr>
        <w:t>检测方法及要求</w:t>
      </w:r>
      <w:r>
        <w:rPr>
          <w:sz w:val="24"/>
        </w:rPr>
        <w:tab/>
      </w:r>
      <w:r>
        <w:rPr>
          <w:sz w:val="24"/>
        </w:rPr>
        <w:fldChar w:fldCharType="begin"/>
      </w:r>
      <w:r>
        <w:rPr>
          <w:sz w:val="24"/>
        </w:rPr>
        <w:instrText xml:space="preserve"> PAGEREF _Toc43819621 \h </w:instrText>
      </w:r>
      <w:r>
        <w:rPr>
          <w:sz w:val="24"/>
        </w:rPr>
        <w:fldChar w:fldCharType="separate"/>
      </w:r>
      <w:r>
        <w:rPr>
          <w:sz w:val="24"/>
        </w:rPr>
        <w:t>5</w:t>
      </w:r>
      <w:r>
        <w:rPr>
          <w:sz w:val="24"/>
        </w:rPr>
        <w:fldChar w:fldCharType="end"/>
      </w:r>
      <w:r>
        <w:rPr>
          <w:sz w:val="24"/>
        </w:rPr>
        <w:fldChar w:fldCharType="end"/>
      </w:r>
    </w:p>
    <w:p>
      <w:pPr>
        <w:pStyle w:val="24"/>
        <w:tabs>
          <w:tab w:val="right" w:leader="dot" w:pos="9175"/>
        </w:tabs>
        <w:spacing w:line="360" w:lineRule="auto"/>
        <w:rPr>
          <w:rFonts w:asciiTheme="minorHAnsi" w:hAnsiTheme="minorHAnsi" w:eastAsiaTheme="minorEastAsia" w:cstheme="minorBidi"/>
          <w:sz w:val="24"/>
        </w:rPr>
      </w:pPr>
      <w:r>
        <w:fldChar w:fldCharType="begin"/>
      </w:r>
      <w:r>
        <w:instrText xml:space="preserve"> HYPERLINK \l "_Toc43819622" </w:instrText>
      </w:r>
      <w:r>
        <w:fldChar w:fldCharType="separate"/>
      </w:r>
      <w:r>
        <w:rPr>
          <w:rStyle w:val="33"/>
          <w:sz w:val="24"/>
        </w:rPr>
        <w:t>4.5</w:t>
      </w:r>
      <w:r>
        <w:rPr>
          <w:rStyle w:val="33"/>
          <w:rFonts w:hint="eastAsia"/>
          <w:sz w:val="24"/>
        </w:rPr>
        <w:t>结果判定</w:t>
      </w:r>
      <w:r>
        <w:rPr>
          <w:sz w:val="24"/>
        </w:rPr>
        <w:tab/>
      </w:r>
      <w:r>
        <w:rPr>
          <w:sz w:val="24"/>
        </w:rPr>
        <w:fldChar w:fldCharType="begin"/>
      </w:r>
      <w:r>
        <w:rPr>
          <w:sz w:val="24"/>
        </w:rPr>
        <w:instrText xml:space="preserve"> PAGEREF _Toc43819622 \h </w:instrText>
      </w:r>
      <w:r>
        <w:rPr>
          <w:sz w:val="24"/>
        </w:rPr>
        <w:fldChar w:fldCharType="separate"/>
      </w:r>
      <w:r>
        <w:rPr>
          <w:sz w:val="24"/>
        </w:rPr>
        <w:t>6</w:t>
      </w:r>
      <w:r>
        <w:rPr>
          <w:sz w:val="24"/>
        </w:rPr>
        <w:fldChar w:fldCharType="end"/>
      </w:r>
      <w:r>
        <w:rPr>
          <w:sz w:val="24"/>
        </w:rPr>
        <w:fldChar w:fldCharType="end"/>
      </w:r>
    </w:p>
    <w:p>
      <w:pPr>
        <w:pStyle w:val="21"/>
        <w:spacing w:line="360" w:lineRule="auto"/>
        <w:rPr>
          <w:rFonts w:asciiTheme="minorHAnsi" w:hAnsiTheme="minorHAnsi" w:eastAsiaTheme="minorEastAsia" w:cstheme="minorBidi"/>
          <w:sz w:val="24"/>
          <w:szCs w:val="24"/>
        </w:rPr>
      </w:pPr>
      <w:r>
        <w:fldChar w:fldCharType="begin"/>
      </w:r>
      <w:r>
        <w:instrText xml:space="preserve"> HYPERLINK \l "_Toc43819623" </w:instrText>
      </w:r>
      <w:r>
        <w:fldChar w:fldCharType="separate"/>
      </w:r>
      <w:r>
        <w:rPr>
          <w:rStyle w:val="33"/>
          <w:sz w:val="24"/>
          <w:szCs w:val="24"/>
        </w:rPr>
        <w:t>5</w:t>
      </w:r>
      <w:r>
        <w:rPr>
          <w:rStyle w:val="33"/>
          <w:rFonts w:hint="eastAsia"/>
          <w:sz w:val="24"/>
          <w:szCs w:val="24"/>
        </w:rPr>
        <w:t>接地电阻检测</w:t>
      </w:r>
      <w:r>
        <w:rPr>
          <w:sz w:val="24"/>
          <w:szCs w:val="24"/>
        </w:rPr>
        <w:tab/>
      </w:r>
      <w:r>
        <w:rPr>
          <w:sz w:val="24"/>
          <w:szCs w:val="24"/>
        </w:rPr>
        <w:fldChar w:fldCharType="begin"/>
      </w:r>
      <w:r>
        <w:rPr>
          <w:sz w:val="24"/>
          <w:szCs w:val="24"/>
        </w:rPr>
        <w:instrText xml:space="preserve"> PAGEREF _Toc43819623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24"/>
        <w:tabs>
          <w:tab w:val="right" w:leader="dot" w:pos="9175"/>
        </w:tabs>
        <w:spacing w:line="360" w:lineRule="auto"/>
        <w:rPr>
          <w:rFonts w:asciiTheme="minorHAnsi" w:hAnsiTheme="minorHAnsi" w:eastAsiaTheme="minorEastAsia" w:cstheme="minorBidi"/>
          <w:sz w:val="24"/>
        </w:rPr>
      </w:pPr>
      <w:r>
        <w:fldChar w:fldCharType="begin"/>
      </w:r>
      <w:r>
        <w:instrText xml:space="preserve"> HYPERLINK \l "_Toc43819624" </w:instrText>
      </w:r>
      <w:r>
        <w:fldChar w:fldCharType="separate"/>
      </w:r>
      <w:r>
        <w:rPr>
          <w:rStyle w:val="33"/>
          <w:sz w:val="24"/>
        </w:rPr>
        <w:t xml:space="preserve">5.1  </w:t>
      </w:r>
      <w:r>
        <w:rPr>
          <w:rStyle w:val="33"/>
          <w:rFonts w:hint="eastAsia"/>
          <w:sz w:val="24"/>
        </w:rPr>
        <w:t>检测仪器</w:t>
      </w:r>
      <w:r>
        <w:rPr>
          <w:sz w:val="24"/>
        </w:rPr>
        <w:tab/>
      </w:r>
      <w:r>
        <w:rPr>
          <w:sz w:val="24"/>
        </w:rPr>
        <w:fldChar w:fldCharType="begin"/>
      </w:r>
      <w:r>
        <w:rPr>
          <w:sz w:val="24"/>
        </w:rPr>
        <w:instrText xml:space="preserve"> PAGEREF _Toc43819624 \h </w:instrText>
      </w:r>
      <w:r>
        <w:rPr>
          <w:sz w:val="24"/>
        </w:rPr>
        <w:fldChar w:fldCharType="separate"/>
      </w:r>
      <w:r>
        <w:rPr>
          <w:sz w:val="24"/>
        </w:rPr>
        <w:t>7</w:t>
      </w:r>
      <w:r>
        <w:rPr>
          <w:sz w:val="24"/>
        </w:rPr>
        <w:fldChar w:fldCharType="end"/>
      </w:r>
      <w:r>
        <w:rPr>
          <w:sz w:val="24"/>
        </w:rPr>
        <w:fldChar w:fldCharType="end"/>
      </w:r>
    </w:p>
    <w:p>
      <w:pPr>
        <w:pStyle w:val="24"/>
        <w:tabs>
          <w:tab w:val="right" w:leader="dot" w:pos="9175"/>
        </w:tabs>
        <w:spacing w:line="360" w:lineRule="auto"/>
        <w:rPr>
          <w:rFonts w:asciiTheme="minorHAnsi" w:hAnsiTheme="minorHAnsi" w:eastAsiaTheme="minorEastAsia" w:cstheme="minorBidi"/>
          <w:sz w:val="24"/>
        </w:rPr>
      </w:pPr>
      <w:r>
        <w:fldChar w:fldCharType="begin"/>
      </w:r>
      <w:r>
        <w:instrText xml:space="preserve"> HYPERLINK \l "_Toc43819625" </w:instrText>
      </w:r>
      <w:r>
        <w:fldChar w:fldCharType="separate"/>
      </w:r>
      <w:r>
        <w:rPr>
          <w:rStyle w:val="33"/>
          <w:sz w:val="24"/>
        </w:rPr>
        <w:t xml:space="preserve">5.2  </w:t>
      </w:r>
      <w:r>
        <w:rPr>
          <w:rStyle w:val="33"/>
          <w:rFonts w:hint="eastAsia"/>
          <w:sz w:val="24"/>
        </w:rPr>
        <w:t>抽检数量</w:t>
      </w:r>
      <w:r>
        <w:rPr>
          <w:sz w:val="24"/>
        </w:rPr>
        <w:tab/>
      </w:r>
      <w:r>
        <w:rPr>
          <w:sz w:val="24"/>
        </w:rPr>
        <w:fldChar w:fldCharType="begin"/>
      </w:r>
      <w:r>
        <w:rPr>
          <w:sz w:val="24"/>
        </w:rPr>
        <w:instrText xml:space="preserve"> PAGEREF _Toc43819625 \h </w:instrText>
      </w:r>
      <w:r>
        <w:rPr>
          <w:sz w:val="24"/>
        </w:rPr>
        <w:fldChar w:fldCharType="separate"/>
      </w:r>
      <w:r>
        <w:rPr>
          <w:sz w:val="24"/>
        </w:rPr>
        <w:t>7</w:t>
      </w:r>
      <w:r>
        <w:rPr>
          <w:sz w:val="24"/>
        </w:rPr>
        <w:fldChar w:fldCharType="end"/>
      </w:r>
      <w:r>
        <w:rPr>
          <w:sz w:val="24"/>
        </w:rPr>
        <w:fldChar w:fldCharType="end"/>
      </w:r>
    </w:p>
    <w:p>
      <w:pPr>
        <w:pStyle w:val="24"/>
        <w:tabs>
          <w:tab w:val="right" w:leader="dot" w:pos="9175"/>
        </w:tabs>
        <w:spacing w:line="360" w:lineRule="auto"/>
        <w:rPr>
          <w:rFonts w:asciiTheme="minorHAnsi" w:hAnsiTheme="minorHAnsi" w:eastAsiaTheme="minorEastAsia" w:cstheme="minorBidi"/>
          <w:sz w:val="24"/>
        </w:rPr>
      </w:pPr>
      <w:r>
        <w:fldChar w:fldCharType="begin"/>
      </w:r>
      <w:r>
        <w:instrText xml:space="preserve"> HYPERLINK \l "_Toc43819626" </w:instrText>
      </w:r>
      <w:r>
        <w:fldChar w:fldCharType="separate"/>
      </w:r>
      <w:r>
        <w:rPr>
          <w:rStyle w:val="33"/>
          <w:sz w:val="24"/>
        </w:rPr>
        <w:t xml:space="preserve">5.3  </w:t>
      </w:r>
      <w:r>
        <w:rPr>
          <w:rStyle w:val="33"/>
          <w:rFonts w:hint="eastAsia"/>
          <w:sz w:val="24"/>
        </w:rPr>
        <w:t>环境条件</w:t>
      </w:r>
      <w:r>
        <w:rPr>
          <w:sz w:val="24"/>
        </w:rPr>
        <w:tab/>
      </w:r>
      <w:r>
        <w:rPr>
          <w:sz w:val="24"/>
        </w:rPr>
        <w:fldChar w:fldCharType="begin"/>
      </w:r>
      <w:r>
        <w:rPr>
          <w:sz w:val="24"/>
        </w:rPr>
        <w:instrText xml:space="preserve"> PAGEREF _Toc43819626 \h </w:instrText>
      </w:r>
      <w:r>
        <w:rPr>
          <w:sz w:val="24"/>
        </w:rPr>
        <w:fldChar w:fldCharType="separate"/>
      </w:r>
      <w:r>
        <w:rPr>
          <w:sz w:val="24"/>
        </w:rPr>
        <w:t>7</w:t>
      </w:r>
      <w:r>
        <w:rPr>
          <w:sz w:val="24"/>
        </w:rPr>
        <w:fldChar w:fldCharType="end"/>
      </w:r>
      <w:r>
        <w:rPr>
          <w:sz w:val="24"/>
        </w:rPr>
        <w:fldChar w:fldCharType="end"/>
      </w:r>
    </w:p>
    <w:p>
      <w:pPr>
        <w:pStyle w:val="24"/>
        <w:tabs>
          <w:tab w:val="right" w:leader="dot" w:pos="9175"/>
        </w:tabs>
        <w:spacing w:line="360" w:lineRule="auto"/>
        <w:rPr>
          <w:rFonts w:asciiTheme="minorHAnsi" w:hAnsiTheme="minorHAnsi" w:eastAsiaTheme="minorEastAsia" w:cstheme="minorBidi"/>
          <w:sz w:val="24"/>
        </w:rPr>
      </w:pPr>
      <w:r>
        <w:fldChar w:fldCharType="begin"/>
      </w:r>
      <w:r>
        <w:instrText xml:space="preserve"> HYPERLINK \l "_Toc43819627" </w:instrText>
      </w:r>
      <w:r>
        <w:fldChar w:fldCharType="separate"/>
      </w:r>
      <w:r>
        <w:rPr>
          <w:rStyle w:val="33"/>
          <w:sz w:val="24"/>
        </w:rPr>
        <w:t xml:space="preserve">5.4  </w:t>
      </w:r>
      <w:r>
        <w:rPr>
          <w:rStyle w:val="33"/>
          <w:rFonts w:hint="eastAsia"/>
          <w:sz w:val="24"/>
        </w:rPr>
        <w:t>检测方法及要求</w:t>
      </w:r>
      <w:r>
        <w:rPr>
          <w:sz w:val="24"/>
        </w:rPr>
        <w:tab/>
      </w:r>
      <w:r>
        <w:rPr>
          <w:sz w:val="24"/>
        </w:rPr>
        <w:fldChar w:fldCharType="begin"/>
      </w:r>
      <w:r>
        <w:rPr>
          <w:sz w:val="24"/>
        </w:rPr>
        <w:instrText xml:space="preserve"> PAGEREF _Toc43819627 \h </w:instrText>
      </w:r>
      <w:r>
        <w:rPr>
          <w:sz w:val="24"/>
        </w:rPr>
        <w:fldChar w:fldCharType="separate"/>
      </w:r>
      <w:r>
        <w:rPr>
          <w:sz w:val="24"/>
        </w:rPr>
        <w:t>7</w:t>
      </w:r>
      <w:r>
        <w:rPr>
          <w:sz w:val="24"/>
        </w:rPr>
        <w:fldChar w:fldCharType="end"/>
      </w:r>
      <w:r>
        <w:rPr>
          <w:sz w:val="24"/>
        </w:rPr>
        <w:fldChar w:fldCharType="end"/>
      </w:r>
    </w:p>
    <w:p>
      <w:pPr>
        <w:pStyle w:val="24"/>
        <w:tabs>
          <w:tab w:val="right" w:leader="dot" w:pos="9175"/>
        </w:tabs>
        <w:spacing w:line="360" w:lineRule="auto"/>
        <w:rPr>
          <w:rFonts w:asciiTheme="minorHAnsi" w:hAnsiTheme="minorHAnsi" w:eastAsiaTheme="minorEastAsia" w:cstheme="minorBidi"/>
          <w:sz w:val="24"/>
        </w:rPr>
      </w:pPr>
      <w:r>
        <w:fldChar w:fldCharType="begin"/>
      </w:r>
      <w:r>
        <w:instrText xml:space="preserve"> HYPERLINK \l "_Toc43819628" </w:instrText>
      </w:r>
      <w:r>
        <w:fldChar w:fldCharType="separate"/>
      </w:r>
      <w:r>
        <w:rPr>
          <w:rStyle w:val="33"/>
          <w:sz w:val="24"/>
        </w:rPr>
        <w:t xml:space="preserve">5.5  </w:t>
      </w:r>
      <w:r>
        <w:rPr>
          <w:rStyle w:val="33"/>
          <w:rFonts w:hint="eastAsia"/>
          <w:sz w:val="24"/>
        </w:rPr>
        <w:t>结果判定</w:t>
      </w:r>
      <w:r>
        <w:rPr>
          <w:sz w:val="24"/>
        </w:rPr>
        <w:tab/>
      </w:r>
      <w:r>
        <w:rPr>
          <w:sz w:val="24"/>
        </w:rPr>
        <w:fldChar w:fldCharType="begin"/>
      </w:r>
      <w:r>
        <w:rPr>
          <w:sz w:val="24"/>
        </w:rPr>
        <w:instrText xml:space="preserve"> PAGEREF _Toc43819628 \h </w:instrText>
      </w:r>
      <w:r>
        <w:rPr>
          <w:sz w:val="24"/>
        </w:rPr>
        <w:fldChar w:fldCharType="separate"/>
      </w:r>
      <w:r>
        <w:rPr>
          <w:sz w:val="24"/>
        </w:rPr>
        <w:t>10</w:t>
      </w:r>
      <w:r>
        <w:rPr>
          <w:sz w:val="24"/>
        </w:rPr>
        <w:fldChar w:fldCharType="end"/>
      </w:r>
      <w:r>
        <w:rPr>
          <w:sz w:val="24"/>
        </w:rPr>
        <w:fldChar w:fldCharType="end"/>
      </w:r>
    </w:p>
    <w:p>
      <w:pPr>
        <w:pStyle w:val="21"/>
        <w:spacing w:line="360" w:lineRule="auto"/>
        <w:rPr>
          <w:rFonts w:asciiTheme="minorHAnsi" w:hAnsiTheme="minorHAnsi" w:eastAsiaTheme="minorEastAsia" w:cstheme="minorBidi"/>
          <w:sz w:val="24"/>
          <w:szCs w:val="24"/>
        </w:rPr>
      </w:pPr>
      <w:r>
        <w:fldChar w:fldCharType="begin"/>
      </w:r>
      <w:r>
        <w:instrText xml:space="preserve"> HYPERLINK \l "_Toc43819629" </w:instrText>
      </w:r>
      <w:r>
        <w:fldChar w:fldCharType="separate"/>
      </w:r>
      <w:r>
        <w:rPr>
          <w:rStyle w:val="33"/>
          <w:rFonts w:hint="eastAsia" w:ascii="宋体" w:hAnsi="宋体"/>
          <w:sz w:val="24"/>
          <w:szCs w:val="24"/>
        </w:rPr>
        <w:t>附录</w:t>
      </w:r>
      <w:r>
        <w:rPr>
          <w:rStyle w:val="33"/>
          <w:rFonts w:ascii="宋体" w:hAnsi="宋体"/>
          <w:sz w:val="24"/>
          <w:szCs w:val="24"/>
        </w:rPr>
        <w:t xml:space="preserve">A </w:t>
      </w:r>
      <w:r>
        <w:rPr>
          <w:rStyle w:val="33"/>
          <w:rFonts w:hint="eastAsia" w:ascii="宋体" w:hAnsi="宋体"/>
          <w:sz w:val="24"/>
          <w:szCs w:val="24"/>
        </w:rPr>
        <w:t>绝缘电阻检测记录表</w:t>
      </w:r>
      <w:r>
        <w:rPr>
          <w:sz w:val="24"/>
          <w:szCs w:val="24"/>
        </w:rPr>
        <w:tab/>
      </w:r>
      <w:r>
        <w:rPr>
          <w:sz w:val="24"/>
          <w:szCs w:val="24"/>
        </w:rPr>
        <w:fldChar w:fldCharType="begin"/>
      </w:r>
      <w:r>
        <w:rPr>
          <w:sz w:val="24"/>
          <w:szCs w:val="24"/>
        </w:rPr>
        <w:instrText xml:space="preserve"> PAGEREF _Toc43819629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21"/>
        <w:spacing w:line="360" w:lineRule="auto"/>
        <w:rPr>
          <w:rFonts w:asciiTheme="minorHAnsi" w:hAnsiTheme="minorHAnsi" w:eastAsiaTheme="minorEastAsia" w:cstheme="minorBidi"/>
          <w:sz w:val="24"/>
          <w:szCs w:val="24"/>
        </w:rPr>
      </w:pPr>
      <w:r>
        <w:fldChar w:fldCharType="begin"/>
      </w:r>
      <w:r>
        <w:instrText xml:space="preserve"> HYPERLINK \l "_Toc43819630" </w:instrText>
      </w:r>
      <w:r>
        <w:fldChar w:fldCharType="separate"/>
      </w:r>
      <w:r>
        <w:rPr>
          <w:rStyle w:val="33"/>
          <w:rFonts w:hint="eastAsia" w:ascii="宋体" w:hAnsi="宋体"/>
          <w:sz w:val="24"/>
          <w:szCs w:val="24"/>
        </w:rPr>
        <w:t>附录</w:t>
      </w:r>
      <w:r>
        <w:rPr>
          <w:rStyle w:val="33"/>
          <w:rFonts w:ascii="宋体" w:hAnsi="宋体"/>
          <w:sz w:val="24"/>
          <w:szCs w:val="24"/>
        </w:rPr>
        <w:t xml:space="preserve">B </w:t>
      </w:r>
      <w:r>
        <w:rPr>
          <w:rStyle w:val="33"/>
          <w:rFonts w:hint="eastAsia" w:ascii="宋体" w:hAnsi="宋体"/>
          <w:sz w:val="24"/>
          <w:szCs w:val="24"/>
        </w:rPr>
        <w:t>接地电阻检测记录表</w:t>
      </w:r>
      <w:r>
        <w:rPr>
          <w:sz w:val="24"/>
          <w:szCs w:val="24"/>
        </w:rPr>
        <w:tab/>
      </w:r>
      <w:r>
        <w:rPr>
          <w:sz w:val="24"/>
          <w:szCs w:val="24"/>
        </w:rPr>
        <w:fldChar w:fldCharType="begin"/>
      </w:r>
      <w:r>
        <w:rPr>
          <w:sz w:val="24"/>
          <w:szCs w:val="24"/>
        </w:rPr>
        <w:instrText xml:space="preserve"> PAGEREF _Toc43819630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21"/>
        <w:spacing w:line="360" w:lineRule="auto"/>
        <w:rPr>
          <w:rFonts w:asciiTheme="minorHAnsi" w:hAnsiTheme="minorHAnsi" w:eastAsiaTheme="minorEastAsia" w:cstheme="minorBidi"/>
          <w:sz w:val="24"/>
          <w:szCs w:val="24"/>
        </w:rPr>
      </w:pPr>
      <w:r>
        <w:fldChar w:fldCharType="begin"/>
      </w:r>
      <w:r>
        <w:instrText xml:space="preserve"> HYPERLINK \l "_Toc43819631" </w:instrText>
      </w:r>
      <w:r>
        <w:fldChar w:fldCharType="separate"/>
      </w:r>
      <w:r>
        <w:rPr>
          <w:rStyle w:val="33"/>
          <w:rFonts w:hint="eastAsia" w:ascii="宋体" w:hAnsi="宋体"/>
          <w:sz w:val="24"/>
          <w:szCs w:val="24"/>
        </w:rPr>
        <w:t>本规程用词说明</w:t>
      </w:r>
      <w:r>
        <w:rPr>
          <w:sz w:val="24"/>
          <w:szCs w:val="24"/>
        </w:rPr>
        <w:tab/>
      </w:r>
      <w:r>
        <w:rPr>
          <w:sz w:val="24"/>
          <w:szCs w:val="24"/>
        </w:rPr>
        <w:fldChar w:fldCharType="begin"/>
      </w:r>
      <w:r>
        <w:rPr>
          <w:sz w:val="24"/>
          <w:szCs w:val="24"/>
        </w:rPr>
        <w:instrText xml:space="preserve"> PAGEREF _Toc43819631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21"/>
        <w:spacing w:line="360" w:lineRule="auto"/>
        <w:rPr>
          <w:rFonts w:asciiTheme="minorHAnsi" w:hAnsiTheme="minorHAnsi" w:eastAsiaTheme="minorEastAsia" w:cstheme="minorBidi"/>
          <w:sz w:val="24"/>
          <w:szCs w:val="24"/>
        </w:rPr>
      </w:pPr>
      <w:r>
        <w:fldChar w:fldCharType="begin"/>
      </w:r>
      <w:r>
        <w:instrText xml:space="preserve"> HYPERLINK \l "_Toc43819632" </w:instrText>
      </w:r>
      <w:r>
        <w:fldChar w:fldCharType="separate"/>
      </w:r>
      <w:r>
        <w:rPr>
          <w:rStyle w:val="33"/>
          <w:rFonts w:hint="eastAsia" w:ascii="宋体" w:hAnsi="宋体"/>
          <w:sz w:val="24"/>
          <w:szCs w:val="24"/>
        </w:rPr>
        <w:t>引用标准名录</w:t>
      </w:r>
      <w:r>
        <w:rPr>
          <w:sz w:val="24"/>
          <w:szCs w:val="24"/>
        </w:rPr>
        <w:tab/>
      </w:r>
      <w:r>
        <w:rPr>
          <w:sz w:val="24"/>
          <w:szCs w:val="24"/>
        </w:rPr>
        <w:fldChar w:fldCharType="begin"/>
      </w:r>
      <w:r>
        <w:rPr>
          <w:sz w:val="24"/>
          <w:szCs w:val="24"/>
        </w:rPr>
        <w:instrText xml:space="preserve"> PAGEREF _Toc43819632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21"/>
        <w:spacing w:line="360" w:lineRule="auto"/>
        <w:rPr>
          <w:rFonts w:asciiTheme="minorHAnsi" w:hAnsiTheme="minorHAnsi" w:eastAsiaTheme="minorEastAsia" w:cstheme="minorBidi"/>
          <w:sz w:val="24"/>
          <w:szCs w:val="24"/>
        </w:rPr>
      </w:pPr>
      <w:r>
        <w:rPr>
          <w:rStyle w:val="33"/>
          <w:rFonts w:hint="eastAsia"/>
          <w:color w:val="000000" w:themeColor="text1"/>
          <w:sz w:val="24"/>
          <w:szCs w:val="24"/>
          <w:u w:val="none"/>
        </w:rPr>
        <w:t>附：</w:t>
      </w:r>
      <w:r>
        <w:fldChar w:fldCharType="begin"/>
      </w:r>
      <w:r>
        <w:instrText xml:space="preserve"> HYPERLINK \l "_Toc43819633" </w:instrText>
      </w:r>
      <w:r>
        <w:fldChar w:fldCharType="separate"/>
      </w:r>
      <w:r>
        <w:rPr>
          <w:rStyle w:val="33"/>
          <w:rFonts w:hint="eastAsia" w:ascii="宋体" w:hAnsi="宋体"/>
          <w:bCs/>
          <w:sz w:val="24"/>
          <w:szCs w:val="24"/>
        </w:rPr>
        <w:t>条文说明</w:t>
      </w:r>
      <w:r>
        <w:rPr>
          <w:sz w:val="24"/>
          <w:szCs w:val="24"/>
        </w:rPr>
        <w:tab/>
      </w:r>
      <w:r>
        <w:rPr>
          <w:sz w:val="24"/>
          <w:szCs w:val="24"/>
        </w:rPr>
        <w:fldChar w:fldCharType="begin"/>
      </w:r>
      <w:r>
        <w:rPr>
          <w:sz w:val="24"/>
          <w:szCs w:val="24"/>
        </w:rPr>
        <w:instrText xml:space="preserve"> PAGEREF _Toc43819633 \h </w:instrText>
      </w:r>
      <w:r>
        <w:rPr>
          <w:sz w:val="24"/>
          <w:szCs w:val="24"/>
        </w:rPr>
        <w:fldChar w:fldCharType="separate"/>
      </w:r>
      <w:r>
        <w:rPr>
          <w:sz w:val="24"/>
          <w:szCs w:val="24"/>
        </w:rPr>
        <w:t>15</w:t>
      </w:r>
      <w:r>
        <w:rPr>
          <w:sz w:val="24"/>
          <w:szCs w:val="24"/>
        </w:rPr>
        <w:fldChar w:fldCharType="end"/>
      </w:r>
      <w:r>
        <w:rPr>
          <w:sz w:val="24"/>
          <w:szCs w:val="24"/>
        </w:rPr>
        <w:fldChar w:fldCharType="end"/>
      </w:r>
    </w:p>
    <w:p>
      <w:pPr>
        <w:adjustRightInd w:val="0"/>
        <w:snapToGrid w:val="0"/>
        <w:spacing w:line="360" w:lineRule="auto"/>
        <w:ind w:firstLine="482" w:firstLineChars="200"/>
        <w:jc w:val="center"/>
        <w:rPr>
          <w:rFonts w:asciiTheme="minorEastAsia" w:hAnsiTheme="minorEastAsia" w:eastAsiaTheme="minorEastAsia"/>
          <w:b/>
          <w:bCs/>
          <w:sz w:val="24"/>
          <w:szCs w:val="24"/>
          <w:lang w:val="zh-CN"/>
        </w:rPr>
      </w:pPr>
      <w:r>
        <w:rPr>
          <w:rFonts w:asciiTheme="minorEastAsia" w:hAnsiTheme="minorEastAsia" w:eastAsiaTheme="minorEastAsia" w:cstheme="minorEastAsia"/>
          <w:b/>
          <w:bCs/>
          <w:sz w:val="24"/>
          <w:szCs w:val="24"/>
          <w:lang w:val="zh-CN"/>
        </w:rPr>
        <w:fldChar w:fldCharType="end"/>
      </w:r>
    </w:p>
    <w:p>
      <w:pPr>
        <w:adjustRightInd w:val="0"/>
        <w:snapToGrid w:val="0"/>
        <w:spacing w:line="360" w:lineRule="auto"/>
        <w:ind w:firstLine="482" w:firstLineChars="200"/>
        <w:jc w:val="center"/>
        <w:rPr>
          <w:rFonts w:asciiTheme="minorEastAsia" w:hAnsiTheme="minorEastAsia" w:eastAsiaTheme="minorEastAsia"/>
          <w:b/>
          <w:bCs/>
          <w:sz w:val="24"/>
          <w:szCs w:val="24"/>
          <w:lang w:val="zh-CN"/>
        </w:rPr>
      </w:pPr>
    </w:p>
    <w:p>
      <w:pPr>
        <w:adjustRightInd w:val="0"/>
        <w:snapToGrid w:val="0"/>
        <w:spacing w:line="360" w:lineRule="auto"/>
        <w:ind w:firstLine="482" w:firstLineChars="200"/>
        <w:jc w:val="center"/>
        <w:rPr>
          <w:rFonts w:asciiTheme="minorEastAsia" w:hAnsiTheme="minorEastAsia" w:eastAsiaTheme="minorEastAsia"/>
          <w:b/>
          <w:bCs/>
          <w:sz w:val="24"/>
          <w:szCs w:val="24"/>
          <w:lang w:val="zh-CN"/>
        </w:rPr>
      </w:pPr>
    </w:p>
    <w:p>
      <w:pPr>
        <w:adjustRightInd w:val="0"/>
        <w:snapToGrid w:val="0"/>
        <w:spacing w:line="360" w:lineRule="auto"/>
        <w:ind w:firstLine="482" w:firstLineChars="200"/>
        <w:jc w:val="center"/>
        <w:rPr>
          <w:rFonts w:asciiTheme="minorEastAsia" w:hAnsiTheme="minorEastAsia" w:eastAsiaTheme="minorEastAsia"/>
          <w:b/>
          <w:bCs/>
          <w:sz w:val="24"/>
          <w:szCs w:val="24"/>
          <w:lang w:val="zh-CN"/>
        </w:rPr>
      </w:pPr>
    </w:p>
    <w:p>
      <w:pPr>
        <w:adjustRightInd w:val="0"/>
        <w:snapToGrid w:val="0"/>
        <w:spacing w:line="360" w:lineRule="auto"/>
        <w:ind w:firstLine="482" w:firstLineChars="200"/>
        <w:jc w:val="center"/>
        <w:rPr>
          <w:rFonts w:asciiTheme="minorEastAsia" w:hAnsiTheme="minorEastAsia" w:eastAsiaTheme="minorEastAsia"/>
          <w:b/>
          <w:bCs/>
          <w:sz w:val="24"/>
          <w:szCs w:val="24"/>
          <w:lang w:val="zh-CN"/>
        </w:rPr>
      </w:pPr>
    </w:p>
    <w:p>
      <w:pPr>
        <w:adjustRightInd w:val="0"/>
        <w:snapToGrid w:val="0"/>
        <w:spacing w:line="360" w:lineRule="auto"/>
        <w:ind w:firstLine="482" w:firstLineChars="200"/>
        <w:jc w:val="center"/>
        <w:rPr>
          <w:rFonts w:asciiTheme="minorEastAsia" w:hAnsiTheme="minorEastAsia" w:eastAsiaTheme="minorEastAsia"/>
          <w:b/>
          <w:bCs/>
          <w:sz w:val="24"/>
          <w:szCs w:val="24"/>
          <w:lang w:val="zh-CN"/>
        </w:rPr>
      </w:pPr>
    </w:p>
    <w:p>
      <w:pPr>
        <w:adjustRightInd w:val="0"/>
        <w:snapToGrid w:val="0"/>
        <w:spacing w:line="360" w:lineRule="auto"/>
        <w:ind w:firstLine="482" w:firstLineChars="200"/>
        <w:jc w:val="center"/>
        <w:rPr>
          <w:rFonts w:asciiTheme="minorEastAsia" w:hAnsiTheme="minorEastAsia" w:eastAsiaTheme="minorEastAsia"/>
          <w:b/>
          <w:bCs/>
          <w:sz w:val="24"/>
          <w:szCs w:val="24"/>
          <w:lang w:val="zh-CN"/>
        </w:rPr>
      </w:pPr>
    </w:p>
    <w:p>
      <w:pPr>
        <w:adjustRightInd w:val="0"/>
        <w:snapToGrid w:val="0"/>
        <w:spacing w:line="440" w:lineRule="atLeast"/>
        <w:ind w:firstLine="482" w:firstLineChars="200"/>
        <w:jc w:val="center"/>
        <w:rPr>
          <w:rFonts w:asciiTheme="minorEastAsia" w:hAnsiTheme="minorEastAsia" w:eastAsiaTheme="minorEastAsia"/>
          <w:b/>
          <w:bCs/>
          <w:sz w:val="24"/>
          <w:szCs w:val="24"/>
          <w:lang w:val="zh-CN"/>
        </w:rPr>
      </w:pPr>
    </w:p>
    <w:p>
      <w:pPr>
        <w:adjustRightInd w:val="0"/>
        <w:snapToGrid w:val="0"/>
        <w:spacing w:line="440" w:lineRule="atLeast"/>
        <w:ind w:firstLine="482" w:firstLineChars="200"/>
        <w:jc w:val="center"/>
        <w:rPr>
          <w:rFonts w:asciiTheme="minorEastAsia" w:hAnsiTheme="minorEastAsia" w:eastAsiaTheme="minorEastAsia"/>
          <w:b/>
          <w:bCs/>
          <w:sz w:val="24"/>
          <w:szCs w:val="24"/>
          <w:lang w:val="zh-CN"/>
        </w:rPr>
      </w:pPr>
    </w:p>
    <w:p>
      <w:pPr>
        <w:adjustRightInd w:val="0"/>
        <w:snapToGrid w:val="0"/>
        <w:spacing w:line="440" w:lineRule="atLeast"/>
        <w:ind w:firstLine="640" w:firstLineChars="200"/>
        <w:jc w:val="center"/>
        <w:rPr>
          <w:bCs/>
          <w:color w:val="000000" w:themeColor="text1"/>
          <w:sz w:val="32"/>
          <w:szCs w:val="32"/>
        </w:rPr>
      </w:pPr>
      <w:r>
        <w:rPr>
          <w:bCs/>
          <w:color w:val="000000" w:themeColor="text1"/>
          <w:sz w:val="32"/>
          <w:szCs w:val="32"/>
        </w:rPr>
        <w:t>Contents</w:t>
      </w:r>
    </w:p>
    <w:p>
      <w:pPr>
        <w:adjustRightInd w:val="0"/>
        <w:snapToGrid w:val="0"/>
        <w:spacing w:line="440" w:lineRule="atLeast"/>
        <w:ind w:firstLine="480" w:firstLineChars="200"/>
        <w:jc w:val="center"/>
        <w:rPr>
          <w:bCs/>
          <w:sz w:val="24"/>
          <w:szCs w:val="24"/>
        </w:rPr>
      </w:pPr>
    </w:p>
    <w:p>
      <w:pPr>
        <w:pStyle w:val="21"/>
        <w:spacing w:line="360" w:lineRule="auto"/>
        <w:rPr>
          <w:rFonts w:eastAsiaTheme="minorEastAsia"/>
          <w:sz w:val="24"/>
          <w:szCs w:val="24"/>
        </w:rPr>
      </w:pPr>
      <w:r>
        <w:rPr>
          <w:rFonts w:eastAsiaTheme="minorEastAsia"/>
          <w:sz w:val="24"/>
          <w:szCs w:val="24"/>
        </w:rPr>
        <w:fldChar w:fldCharType="begin"/>
      </w:r>
      <w:r>
        <w:rPr>
          <w:rFonts w:eastAsiaTheme="minorEastAsia"/>
          <w:sz w:val="24"/>
          <w:szCs w:val="24"/>
        </w:rPr>
        <w:instrText xml:space="preserve"> TOC \o "1-3" \h \z \u </w:instrText>
      </w:r>
      <w:r>
        <w:rPr>
          <w:rFonts w:eastAsiaTheme="minorEastAsia"/>
          <w:sz w:val="24"/>
          <w:szCs w:val="24"/>
        </w:rPr>
        <w:fldChar w:fldCharType="separate"/>
      </w:r>
      <w:r>
        <w:fldChar w:fldCharType="begin"/>
      </w:r>
      <w:r>
        <w:instrText xml:space="preserve"> HYPERLINK \l "_Toc525997097" </w:instrText>
      </w:r>
      <w:r>
        <w:fldChar w:fldCharType="separate"/>
      </w:r>
      <w:r>
        <w:rPr>
          <w:rStyle w:val="33"/>
          <w:rFonts w:eastAsiaTheme="minorEastAsia"/>
          <w:sz w:val="24"/>
          <w:szCs w:val="24"/>
        </w:rPr>
        <w:t>1  General Provisions</w:t>
      </w:r>
      <w:r>
        <w:rPr>
          <w:rFonts w:eastAsiaTheme="minorEastAsia"/>
          <w:sz w:val="24"/>
          <w:szCs w:val="24"/>
        </w:rPr>
        <w:tab/>
      </w:r>
      <w:r>
        <w:rPr>
          <w:sz w:val="24"/>
          <w:szCs w:val="24"/>
        </w:rPr>
        <w:t>1</w:t>
      </w:r>
      <w:r>
        <w:rPr>
          <w:sz w:val="24"/>
          <w:szCs w:val="24"/>
        </w:rPr>
        <w:fldChar w:fldCharType="end"/>
      </w:r>
    </w:p>
    <w:p>
      <w:pPr>
        <w:pStyle w:val="21"/>
        <w:spacing w:line="360" w:lineRule="auto"/>
        <w:rPr>
          <w:rFonts w:eastAsiaTheme="minorEastAsia"/>
          <w:sz w:val="24"/>
          <w:szCs w:val="24"/>
        </w:rPr>
      </w:pPr>
      <w:r>
        <w:fldChar w:fldCharType="begin"/>
      </w:r>
      <w:r>
        <w:instrText xml:space="preserve"> HYPERLINK \l "_Toc525997098" </w:instrText>
      </w:r>
      <w:r>
        <w:fldChar w:fldCharType="separate"/>
      </w:r>
      <w:r>
        <w:rPr>
          <w:rStyle w:val="33"/>
          <w:rFonts w:eastAsiaTheme="minorEastAsia"/>
          <w:sz w:val="24"/>
          <w:szCs w:val="24"/>
        </w:rPr>
        <w:t xml:space="preserve">2  Terms </w:t>
      </w:r>
      <w:r>
        <w:rPr>
          <w:rFonts w:eastAsiaTheme="minorEastAsia"/>
          <w:sz w:val="24"/>
          <w:szCs w:val="24"/>
        </w:rPr>
        <w:tab/>
      </w:r>
      <w:r>
        <w:rPr>
          <w:sz w:val="24"/>
          <w:szCs w:val="24"/>
        </w:rPr>
        <w:t>2</w:t>
      </w:r>
      <w:r>
        <w:rPr>
          <w:sz w:val="24"/>
          <w:szCs w:val="24"/>
        </w:rPr>
        <w:fldChar w:fldCharType="end"/>
      </w:r>
    </w:p>
    <w:p>
      <w:pPr>
        <w:pStyle w:val="21"/>
        <w:spacing w:line="360" w:lineRule="auto"/>
        <w:rPr>
          <w:rFonts w:eastAsiaTheme="minorEastAsia"/>
          <w:sz w:val="24"/>
          <w:szCs w:val="24"/>
        </w:rPr>
      </w:pPr>
      <w:r>
        <w:fldChar w:fldCharType="begin"/>
      </w:r>
      <w:r>
        <w:instrText xml:space="preserve"> HYPERLINK \l "_Toc525997099" </w:instrText>
      </w:r>
      <w:r>
        <w:fldChar w:fldCharType="separate"/>
      </w:r>
      <w:r>
        <w:rPr>
          <w:rStyle w:val="33"/>
          <w:rFonts w:eastAsiaTheme="minorEastAsia"/>
          <w:sz w:val="24"/>
          <w:szCs w:val="24"/>
        </w:rPr>
        <w:t>3  Basic Requirements</w:t>
      </w:r>
      <w:r>
        <w:rPr>
          <w:rFonts w:eastAsiaTheme="minorEastAsia"/>
          <w:sz w:val="24"/>
          <w:szCs w:val="24"/>
        </w:rPr>
        <w:tab/>
      </w:r>
      <w:r>
        <w:rPr>
          <w:sz w:val="24"/>
          <w:szCs w:val="24"/>
        </w:rPr>
        <w:t>4</w:t>
      </w:r>
      <w:r>
        <w:rPr>
          <w:rFonts w:eastAsiaTheme="minorEastAsia"/>
          <w:sz w:val="24"/>
          <w:szCs w:val="24"/>
        </w:rPr>
        <w:t xml:space="preserve"> </w:t>
      </w:r>
      <w:r>
        <w:rPr>
          <w:rFonts w:eastAsiaTheme="minorEastAsia"/>
          <w:sz w:val="24"/>
          <w:szCs w:val="24"/>
        </w:rPr>
        <w:fldChar w:fldCharType="end"/>
      </w:r>
    </w:p>
    <w:p>
      <w:pPr>
        <w:pStyle w:val="21"/>
        <w:spacing w:line="360" w:lineRule="auto"/>
        <w:rPr>
          <w:rFonts w:eastAsiaTheme="minorEastAsia"/>
          <w:sz w:val="24"/>
          <w:szCs w:val="24"/>
        </w:rPr>
      </w:pPr>
      <w:r>
        <w:fldChar w:fldCharType="begin"/>
      </w:r>
      <w:r>
        <w:instrText xml:space="preserve"> HYPERLINK \l "_Toc525997100" </w:instrText>
      </w:r>
      <w:r>
        <w:fldChar w:fldCharType="separate"/>
      </w:r>
      <w:r>
        <w:rPr>
          <w:rStyle w:val="33"/>
          <w:rFonts w:eastAsiaTheme="minorEastAsia"/>
          <w:sz w:val="24"/>
          <w:szCs w:val="24"/>
        </w:rPr>
        <w:t>4  Insulation Resistance Test</w:t>
      </w:r>
      <w:r>
        <w:rPr>
          <w:rFonts w:eastAsiaTheme="minorEastAsia"/>
          <w:sz w:val="24"/>
          <w:szCs w:val="24"/>
        </w:rPr>
        <w:tab/>
      </w:r>
      <w:r>
        <w:rPr>
          <w:rFonts w:eastAsiaTheme="minorEastAsia"/>
          <w:sz w:val="24"/>
          <w:szCs w:val="24"/>
        </w:rPr>
        <w:fldChar w:fldCharType="end"/>
      </w:r>
      <w:r>
        <w:rPr>
          <w:sz w:val="24"/>
          <w:szCs w:val="24"/>
        </w:rPr>
        <w:t>5</w:t>
      </w:r>
    </w:p>
    <w:p>
      <w:pPr>
        <w:pStyle w:val="15"/>
        <w:spacing w:line="360" w:lineRule="auto"/>
        <w:ind w:left="0" w:leftChars="0" w:firstLine="420" w:firstLineChars="200"/>
        <w:rPr>
          <w:rFonts w:eastAsiaTheme="minorEastAsia"/>
          <w:sz w:val="24"/>
          <w:szCs w:val="24"/>
        </w:rPr>
      </w:pPr>
      <w:r>
        <w:fldChar w:fldCharType="begin"/>
      </w:r>
      <w:r>
        <w:instrText xml:space="preserve"> HYPERLINK \l "_Toc525997101" </w:instrText>
      </w:r>
      <w:r>
        <w:fldChar w:fldCharType="separate"/>
      </w:r>
      <w:r>
        <w:rPr>
          <w:rStyle w:val="33"/>
          <w:rFonts w:eastAsiaTheme="minorEastAsia"/>
          <w:sz w:val="24"/>
          <w:szCs w:val="24"/>
        </w:rPr>
        <w:t>4.1 Instruments</w:t>
      </w:r>
      <w:r>
        <w:rPr>
          <w:rFonts w:eastAsiaTheme="minorEastAsia"/>
          <w:sz w:val="24"/>
          <w:szCs w:val="24"/>
        </w:rPr>
        <w:tab/>
      </w:r>
      <w:r>
        <w:rPr>
          <w:rFonts w:eastAsiaTheme="minorEastAsia"/>
          <w:sz w:val="24"/>
          <w:szCs w:val="24"/>
        </w:rPr>
        <w:fldChar w:fldCharType="end"/>
      </w:r>
      <w:r>
        <w:rPr>
          <w:sz w:val="24"/>
          <w:szCs w:val="24"/>
        </w:rPr>
        <w:t>5</w:t>
      </w:r>
    </w:p>
    <w:p>
      <w:pPr>
        <w:pStyle w:val="15"/>
        <w:spacing w:line="360" w:lineRule="auto"/>
        <w:ind w:left="0" w:leftChars="0" w:firstLine="420" w:firstLineChars="200"/>
        <w:rPr>
          <w:rFonts w:eastAsiaTheme="minorEastAsia"/>
          <w:sz w:val="24"/>
          <w:szCs w:val="24"/>
        </w:rPr>
      </w:pPr>
      <w:r>
        <w:fldChar w:fldCharType="begin"/>
      </w:r>
      <w:r>
        <w:instrText xml:space="preserve"> HYPERLINK \l "_Toc525997102" </w:instrText>
      </w:r>
      <w:r>
        <w:fldChar w:fldCharType="separate"/>
      </w:r>
      <w:r>
        <w:rPr>
          <w:rStyle w:val="33"/>
          <w:rFonts w:eastAsiaTheme="minorEastAsia"/>
          <w:sz w:val="24"/>
          <w:szCs w:val="24"/>
        </w:rPr>
        <w:t>4.2 Quantity</w:t>
      </w:r>
      <w:r>
        <w:rPr>
          <w:rFonts w:eastAsiaTheme="minorEastAsia"/>
          <w:sz w:val="24"/>
          <w:szCs w:val="24"/>
        </w:rPr>
        <w:tab/>
      </w:r>
      <w:r>
        <w:rPr>
          <w:rFonts w:eastAsiaTheme="minorEastAsia"/>
          <w:sz w:val="24"/>
          <w:szCs w:val="24"/>
        </w:rPr>
        <w:fldChar w:fldCharType="end"/>
      </w:r>
      <w:r>
        <w:rPr>
          <w:sz w:val="24"/>
          <w:szCs w:val="24"/>
        </w:rPr>
        <w:t>5</w:t>
      </w:r>
    </w:p>
    <w:p>
      <w:pPr>
        <w:pStyle w:val="15"/>
        <w:spacing w:line="360" w:lineRule="auto"/>
        <w:ind w:left="0" w:leftChars="0" w:firstLine="420" w:firstLineChars="200"/>
        <w:rPr>
          <w:rFonts w:eastAsiaTheme="minorEastAsia"/>
          <w:sz w:val="24"/>
          <w:szCs w:val="24"/>
        </w:rPr>
      </w:pPr>
      <w:r>
        <w:fldChar w:fldCharType="begin"/>
      </w:r>
      <w:r>
        <w:instrText xml:space="preserve"> HYPERLINK \l "_Toc525997103" </w:instrText>
      </w:r>
      <w:r>
        <w:fldChar w:fldCharType="separate"/>
      </w:r>
      <w:r>
        <w:rPr>
          <w:rStyle w:val="33"/>
          <w:rFonts w:eastAsiaTheme="minorEastAsia"/>
          <w:sz w:val="24"/>
          <w:szCs w:val="24"/>
        </w:rPr>
        <w:t>4.3 Testing environment</w:t>
      </w:r>
      <w:r>
        <w:rPr>
          <w:rFonts w:eastAsiaTheme="minorEastAsia"/>
          <w:sz w:val="24"/>
          <w:szCs w:val="24"/>
        </w:rPr>
        <w:tab/>
      </w:r>
      <w:r>
        <w:rPr>
          <w:rFonts w:eastAsiaTheme="minorEastAsia"/>
          <w:sz w:val="24"/>
          <w:szCs w:val="24"/>
        </w:rPr>
        <w:t>5</w:t>
      </w:r>
      <w:r>
        <w:rPr>
          <w:rFonts w:eastAsiaTheme="minorEastAsia"/>
          <w:sz w:val="24"/>
          <w:szCs w:val="24"/>
        </w:rPr>
        <w:fldChar w:fldCharType="end"/>
      </w:r>
    </w:p>
    <w:p>
      <w:pPr>
        <w:pStyle w:val="15"/>
        <w:spacing w:line="360" w:lineRule="auto"/>
        <w:ind w:left="0" w:leftChars="0" w:firstLine="420" w:firstLineChars="200"/>
        <w:rPr>
          <w:sz w:val="24"/>
          <w:szCs w:val="24"/>
        </w:rPr>
      </w:pPr>
      <w:r>
        <w:fldChar w:fldCharType="begin"/>
      </w:r>
      <w:r>
        <w:instrText xml:space="preserve"> HYPERLINK \l "_Toc525997104" </w:instrText>
      </w:r>
      <w:r>
        <w:fldChar w:fldCharType="separate"/>
      </w:r>
      <w:r>
        <w:rPr>
          <w:rStyle w:val="33"/>
          <w:rFonts w:eastAsiaTheme="minorEastAsia"/>
          <w:sz w:val="24"/>
          <w:szCs w:val="24"/>
        </w:rPr>
        <w:t xml:space="preserve">4.4 </w:t>
      </w:r>
      <w:r>
        <w:rPr>
          <w:rStyle w:val="33"/>
          <w:rFonts w:hint="eastAsia" w:eastAsiaTheme="minorEastAsia"/>
          <w:sz w:val="24"/>
          <w:szCs w:val="24"/>
        </w:rPr>
        <w:t>M</w:t>
      </w:r>
      <w:r>
        <w:rPr>
          <w:rStyle w:val="33"/>
          <w:rFonts w:eastAsiaTheme="minorEastAsia"/>
          <w:sz w:val="24"/>
          <w:szCs w:val="24"/>
        </w:rPr>
        <w:t xml:space="preserve">ethods and </w:t>
      </w:r>
      <w:r>
        <w:rPr>
          <w:rStyle w:val="33"/>
          <w:rFonts w:hint="eastAsia" w:eastAsiaTheme="minorEastAsia"/>
          <w:sz w:val="24"/>
          <w:szCs w:val="24"/>
        </w:rPr>
        <w:t>R</w:t>
      </w:r>
      <w:r>
        <w:rPr>
          <w:rStyle w:val="33"/>
          <w:rFonts w:eastAsiaTheme="minorEastAsia"/>
          <w:sz w:val="24"/>
          <w:szCs w:val="24"/>
        </w:rPr>
        <w:t xml:space="preserve">equirements </w:t>
      </w:r>
      <w:r>
        <w:rPr>
          <w:rFonts w:eastAsiaTheme="minorEastAsia"/>
          <w:sz w:val="24"/>
          <w:szCs w:val="24"/>
        </w:rPr>
        <w:tab/>
      </w:r>
      <w:r>
        <w:rPr>
          <w:rFonts w:eastAsiaTheme="minorEastAsia"/>
          <w:sz w:val="24"/>
          <w:szCs w:val="24"/>
        </w:rPr>
        <w:t>5</w:t>
      </w:r>
      <w:r>
        <w:rPr>
          <w:rFonts w:eastAsiaTheme="minorEastAsia"/>
          <w:sz w:val="24"/>
          <w:szCs w:val="24"/>
        </w:rPr>
        <w:fldChar w:fldCharType="end"/>
      </w:r>
    </w:p>
    <w:p>
      <w:pPr>
        <w:pStyle w:val="15"/>
        <w:spacing w:line="360" w:lineRule="auto"/>
        <w:ind w:left="0" w:leftChars="0" w:firstLine="420" w:firstLineChars="200"/>
        <w:rPr>
          <w:sz w:val="24"/>
          <w:szCs w:val="24"/>
        </w:rPr>
      </w:pPr>
      <w:r>
        <w:fldChar w:fldCharType="begin"/>
      </w:r>
      <w:r>
        <w:instrText xml:space="preserve"> HYPERLINK \l "_Toc525997104" </w:instrText>
      </w:r>
      <w:r>
        <w:fldChar w:fldCharType="separate"/>
      </w:r>
      <w:r>
        <w:rPr>
          <w:rStyle w:val="33"/>
          <w:rFonts w:eastAsiaTheme="minorEastAsia"/>
          <w:sz w:val="24"/>
          <w:szCs w:val="24"/>
        </w:rPr>
        <w:t xml:space="preserve">4.5 Judgement </w:t>
      </w:r>
      <w:r>
        <w:rPr>
          <w:rFonts w:eastAsiaTheme="minorEastAsia"/>
          <w:sz w:val="24"/>
          <w:szCs w:val="24"/>
        </w:rPr>
        <w:tab/>
      </w:r>
      <w:r>
        <w:rPr>
          <w:rFonts w:eastAsiaTheme="minorEastAsia"/>
          <w:sz w:val="24"/>
          <w:szCs w:val="24"/>
        </w:rPr>
        <w:fldChar w:fldCharType="end"/>
      </w:r>
      <w:r>
        <w:rPr>
          <w:sz w:val="24"/>
          <w:szCs w:val="24"/>
        </w:rPr>
        <w:t>6</w:t>
      </w:r>
    </w:p>
    <w:p>
      <w:pPr>
        <w:pStyle w:val="21"/>
        <w:spacing w:line="360" w:lineRule="auto"/>
        <w:rPr>
          <w:rFonts w:eastAsiaTheme="minorEastAsia"/>
          <w:sz w:val="24"/>
          <w:szCs w:val="24"/>
        </w:rPr>
      </w:pPr>
      <w:r>
        <w:fldChar w:fldCharType="begin"/>
      </w:r>
      <w:r>
        <w:instrText xml:space="preserve"> HYPERLINK \l "_Toc525997105" </w:instrText>
      </w:r>
      <w:r>
        <w:fldChar w:fldCharType="separate"/>
      </w:r>
      <w:r>
        <w:rPr>
          <w:rStyle w:val="33"/>
          <w:rFonts w:eastAsiaTheme="minorEastAsia"/>
          <w:sz w:val="24"/>
          <w:szCs w:val="24"/>
        </w:rPr>
        <w:t>5</w:t>
      </w:r>
      <w:r>
        <w:rPr>
          <w:sz w:val="24"/>
          <w:szCs w:val="24"/>
        </w:rPr>
        <w:t xml:space="preserve">  </w:t>
      </w:r>
      <w:r>
        <w:rPr>
          <w:rStyle w:val="33"/>
          <w:rFonts w:eastAsiaTheme="minorEastAsia"/>
          <w:sz w:val="24"/>
          <w:szCs w:val="24"/>
        </w:rPr>
        <w:t>Ground Resistance Test</w:t>
      </w:r>
      <w:r>
        <w:rPr>
          <w:rFonts w:eastAsiaTheme="minorEastAsia"/>
          <w:sz w:val="24"/>
          <w:szCs w:val="24"/>
        </w:rPr>
        <w:tab/>
      </w:r>
      <w:r>
        <w:rPr>
          <w:rFonts w:eastAsiaTheme="minorEastAsia"/>
          <w:sz w:val="24"/>
          <w:szCs w:val="24"/>
        </w:rPr>
        <w:fldChar w:fldCharType="end"/>
      </w:r>
      <w:r>
        <w:rPr>
          <w:sz w:val="24"/>
          <w:szCs w:val="24"/>
        </w:rPr>
        <w:t>7</w:t>
      </w:r>
    </w:p>
    <w:p>
      <w:pPr>
        <w:pStyle w:val="15"/>
        <w:spacing w:line="360" w:lineRule="auto"/>
        <w:ind w:left="0" w:leftChars="0" w:firstLine="420" w:firstLineChars="200"/>
        <w:rPr>
          <w:rFonts w:eastAsiaTheme="minorEastAsia"/>
          <w:sz w:val="24"/>
          <w:szCs w:val="24"/>
        </w:rPr>
      </w:pPr>
      <w:r>
        <w:fldChar w:fldCharType="begin"/>
      </w:r>
      <w:r>
        <w:instrText xml:space="preserve"> HYPERLINK \l "_Toc525997106" </w:instrText>
      </w:r>
      <w:r>
        <w:fldChar w:fldCharType="separate"/>
      </w:r>
      <w:r>
        <w:rPr>
          <w:rStyle w:val="33"/>
          <w:rFonts w:eastAsiaTheme="minorEastAsia"/>
          <w:sz w:val="24"/>
          <w:szCs w:val="24"/>
        </w:rPr>
        <w:t>5.1  Instruments</w:t>
      </w:r>
      <w:r>
        <w:rPr>
          <w:rFonts w:eastAsiaTheme="minorEastAsia"/>
          <w:sz w:val="24"/>
          <w:szCs w:val="24"/>
        </w:rPr>
        <w:tab/>
      </w:r>
      <w:r>
        <w:rPr>
          <w:rFonts w:eastAsiaTheme="minorEastAsia"/>
          <w:sz w:val="24"/>
          <w:szCs w:val="24"/>
        </w:rPr>
        <w:fldChar w:fldCharType="end"/>
      </w:r>
      <w:r>
        <w:rPr>
          <w:sz w:val="24"/>
          <w:szCs w:val="24"/>
        </w:rPr>
        <w:t>7</w:t>
      </w:r>
    </w:p>
    <w:p>
      <w:pPr>
        <w:pStyle w:val="15"/>
        <w:spacing w:line="360" w:lineRule="auto"/>
        <w:ind w:left="0" w:leftChars="0" w:firstLine="420" w:firstLineChars="200"/>
        <w:rPr>
          <w:rFonts w:eastAsiaTheme="minorEastAsia"/>
          <w:sz w:val="24"/>
          <w:szCs w:val="24"/>
        </w:rPr>
      </w:pPr>
      <w:r>
        <w:fldChar w:fldCharType="begin"/>
      </w:r>
      <w:r>
        <w:instrText xml:space="preserve"> HYPERLINK \l "_Toc525997107" </w:instrText>
      </w:r>
      <w:r>
        <w:fldChar w:fldCharType="separate"/>
      </w:r>
      <w:r>
        <w:rPr>
          <w:rStyle w:val="33"/>
          <w:rFonts w:eastAsiaTheme="minorEastAsia"/>
          <w:sz w:val="24"/>
          <w:szCs w:val="24"/>
        </w:rPr>
        <w:t>5.2  Quantity</w:t>
      </w:r>
      <w:r>
        <w:rPr>
          <w:rFonts w:eastAsiaTheme="minorEastAsia"/>
          <w:sz w:val="24"/>
          <w:szCs w:val="24"/>
        </w:rPr>
        <w:tab/>
      </w:r>
      <w:r>
        <w:rPr>
          <w:rFonts w:eastAsiaTheme="minorEastAsia"/>
          <w:sz w:val="24"/>
          <w:szCs w:val="24"/>
        </w:rPr>
        <w:t>7</w:t>
      </w:r>
      <w:r>
        <w:rPr>
          <w:rFonts w:eastAsiaTheme="minorEastAsia"/>
          <w:sz w:val="24"/>
          <w:szCs w:val="24"/>
        </w:rPr>
        <w:fldChar w:fldCharType="end"/>
      </w:r>
    </w:p>
    <w:p>
      <w:pPr>
        <w:pStyle w:val="15"/>
        <w:spacing w:line="360" w:lineRule="auto"/>
        <w:ind w:left="0" w:leftChars="0" w:firstLine="420" w:firstLineChars="200"/>
        <w:rPr>
          <w:rFonts w:eastAsiaTheme="minorEastAsia"/>
          <w:sz w:val="24"/>
          <w:szCs w:val="24"/>
        </w:rPr>
      </w:pPr>
      <w:r>
        <w:fldChar w:fldCharType="begin"/>
      </w:r>
      <w:r>
        <w:instrText xml:space="preserve"> HYPERLINK \l "_Toc525997108" </w:instrText>
      </w:r>
      <w:r>
        <w:fldChar w:fldCharType="separate"/>
      </w:r>
      <w:r>
        <w:rPr>
          <w:rStyle w:val="33"/>
          <w:rFonts w:eastAsiaTheme="minorEastAsia"/>
          <w:sz w:val="24"/>
          <w:szCs w:val="24"/>
        </w:rPr>
        <w:t xml:space="preserve">5.3  Testing </w:t>
      </w:r>
      <w:r>
        <w:rPr>
          <w:rStyle w:val="33"/>
          <w:rFonts w:hint="eastAsia" w:eastAsiaTheme="minorEastAsia"/>
          <w:sz w:val="24"/>
          <w:szCs w:val="24"/>
        </w:rPr>
        <w:t>E</w:t>
      </w:r>
      <w:r>
        <w:rPr>
          <w:rStyle w:val="33"/>
          <w:rFonts w:eastAsiaTheme="minorEastAsia"/>
          <w:sz w:val="24"/>
          <w:szCs w:val="24"/>
        </w:rPr>
        <w:t>nvironment</w:t>
      </w:r>
      <w:r>
        <w:rPr>
          <w:rFonts w:eastAsiaTheme="minorEastAsia"/>
          <w:sz w:val="24"/>
          <w:szCs w:val="24"/>
        </w:rPr>
        <w:tab/>
      </w:r>
      <w:r>
        <w:rPr>
          <w:rFonts w:eastAsiaTheme="minorEastAsia"/>
          <w:sz w:val="24"/>
          <w:szCs w:val="24"/>
        </w:rPr>
        <w:t>7</w:t>
      </w:r>
      <w:r>
        <w:rPr>
          <w:rFonts w:eastAsiaTheme="minorEastAsia"/>
          <w:sz w:val="24"/>
          <w:szCs w:val="24"/>
        </w:rPr>
        <w:fldChar w:fldCharType="end"/>
      </w:r>
    </w:p>
    <w:p>
      <w:pPr>
        <w:pStyle w:val="15"/>
        <w:spacing w:line="360" w:lineRule="auto"/>
        <w:ind w:left="0" w:leftChars="0" w:firstLine="420" w:firstLineChars="200"/>
        <w:rPr>
          <w:sz w:val="24"/>
          <w:szCs w:val="24"/>
        </w:rPr>
      </w:pPr>
      <w:r>
        <w:fldChar w:fldCharType="begin"/>
      </w:r>
      <w:r>
        <w:instrText xml:space="preserve"> HYPERLINK \l "_Toc525997109" </w:instrText>
      </w:r>
      <w:r>
        <w:fldChar w:fldCharType="separate"/>
      </w:r>
      <w:r>
        <w:rPr>
          <w:rStyle w:val="33"/>
          <w:rFonts w:eastAsiaTheme="minorEastAsia"/>
          <w:sz w:val="24"/>
          <w:szCs w:val="24"/>
        </w:rPr>
        <w:t xml:space="preserve">5.4  </w:t>
      </w:r>
      <w:r>
        <w:rPr>
          <w:rStyle w:val="33"/>
          <w:rFonts w:hint="eastAsia" w:eastAsiaTheme="minorEastAsia"/>
          <w:sz w:val="24"/>
          <w:szCs w:val="24"/>
        </w:rPr>
        <w:t>M</w:t>
      </w:r>
      <w:r>
        <w:rPr>
          <w:rStyle w:val="33"/>
          <w:rFonts w:eastAsiaTheme="minorEastAsia"/>
          <w:sz w:val="24"/>
          <w:szCs w:val="24"/>
        </w:rPr>
        <w:t xml:space="preserve">ethods and </w:t>
      </w:r>
      <w:r>
        <w:rPr>
          <w:rStyle w:val="33"/>
          <w:rFonts w:hint="eastAsia" w:eastAsiaTheme="minorEastAsia"/>
          <w:sz w:val="24"/>
          <w:szCs w:val="24"/>
        </w:rPr>
        <w:t>R</w:t>
      </w:r>
      <w:r>
        <w:rPr>
          <w:rStyle w:val="33"/>
          <w:rFonts w:eastAsiaTheme="minorEastAsia"/>
          <w:sz w:val="24"/>
          <w:szCs w:val="24"/>
        </w:rPr>
        <w:t>equirements</w:t>
      </w:r>
      <w:r>
        <w:rPr>
          <w:rFonts w:eastAsiaTheme="minorEastAsia"/>
          <w:sz w:val="24"/>
          <w:szCs w:val="24"/>
        </w:rPr>
        <w:tab/>
      </w:r>
      <w:r>
        <w:rPr>
          <w:rFonts w:eastAsiaTheme="minorEastAsia"/>
          <w:sz w:val="24"/>
          <w:szCs w:val="24"/>
        </w:rPr>
        <w:t>7</w:t>
      </w:r>
      <w:r>
        <w:rPr>
          <w:rFonts w:eastAsiaTheme="minorEastAsia"/>
          <w:sz w:val="24"/>
          <w:szCs w:val="24"/>
        </w:rPr>
        <w:fldChar w:fldCharType="end"/>
      </w:r>
    </w:p>
    <w:p>
      <w:pPr>
        <w:pStyle w:val="15"/>
        <w:spacing w:line="360" w:lineRule="auto"/>
        <w:ind w:left="0" w:leftChars="0" w:firstLine="420" w:firstLineChars="200"/>
        <w:rPr>
          <w:sz w:val="24"/>
          <w:szCs w:val="24"/>
        </w:rPr>
      </w:pPr>
      <w:r>
        <w:fldChar w:fldCharType="begin"/>
      </w:r>
      <w:r>
        <w:instrText xml:space="preserve"> HYPERLINK \l "_Toc525997109" </w:instrText>
      </w:r>
      <w:r>
        <w:fldChar w:fldCharType="separate"/>
      </w:r>
      <w:r>
        <w:rPr>
          <w:rStyle w:val="33"/>
          <w:rFonts w:eastAsiaTheme="minorEastAsia"/>
          <w:sz w:val="24"/>
          <w:szCs w:val="24"/>
        </w:rPr>
        <w:t>5.5  Judgement</w:t>
      </w:r>
      <w:r>
        <w:rPr>
          <w:rFonts w:eastAsiaTheme="minorEastAsia"/>
          <w:sz w:val="24"/>
          <w:szCs w:val="24"/>
        </w:rPr>
        <w:tab/>
      </w:r>
      <w:r>
        <w:rPr>
          <w:rFonts w:eastAsiaTheme="minorEastAsia"/>
          <w:sz w:val="24"/>
          <w:szCs w:val="24"/>
        </w:rPr>
        <w:fldChar w:fldCharType="end"/>
      </w:r>
      <w:r>
        <w:rPr>
          <w:sz w:val="24"/>
          <w:szCs w:val="24"/>
        </w:rPr>
        <w:t>10</w:t>
      </w:r>
    </w:p>
    <w:p>
      <w:pPr>
        <w:pStyle w:val="15"/>
        <w:spacing w:line="360" w:lineRule="auto"/>
        <w:ind w:left="0" w:leftChars="0"/>
        <w:rPr>
          <w:sz w:val="24"/>
          <w:szCs w:val="24"/>
        </w:rPr>
      </w:pPr>
      <w:r>
        <w:rPr>
          <w:sz w:val="24"/>
          <w:szCs w:val="24"/>
        </w:rPr>
        <w:t>Appendix A  Insulation Resistance Test Form</w:t>
      </w:r>
      <w:r>
        <w:rPr>
          <w:sz w:val="24"/>
          <w:szCs w:val="24"/>
        </w:rPr>
        <w:tab/>
      </w:r>
      <w:r>
        <w:rPr>
          <w:sz w:val="24"/>
          <w:szCs w:val="24"/>
        </w:rPr>
        <w:t>11</w:t>
      </w:r>
    </w:p>
    <w:p>
      <w:pPr>
        <w:pStyle w:val="15"/>
        <w:spacing w:line="360" w:lineRule="auto"/>
        <w:ind w:left="0" w:leftChars="0"/>
        <w:rPr>
          <w:sz w:val="24"/>
          <w:szCs w:val="24"/>
        </w:rPr>
      </w:pPr>
      <w:r>
        <w:rPr>
          <w:sz w:val="24"/>
          <w:szCs w:val="24"/>
        </w:rPr>
        <w:t xml:space="preserve">Appendix B  </w:t>
      </w:r>
      <w:r>
        <w:fldChar w:fldCharType="begin"/>
      </w:r>
      <w:r>
        <w:instrText xml:space="preserve"> HYPERLINK \l "_Toc525997110" </w:instrText>
      </w:r>
      <w:r>
        <w:fldChar w:fldCharType="separate"/>
      </w:r>
      <w:r>
        <w:rPr>
          <w:sz w:val="24"/>
          <w:szCs w:val="24"/>
        </w:rPr>
        <w:t xml:space="preserve">Ground </w:t>
      </w:r>
      <w:r>
        <w:rPr>
          <w:rFonts w:hint="eastAsia"/>
          <w:sz w:val="24"/>
          <w:szCs w:val="24"/>
        </w:rPr>
        <w:t>R</w:t>
      </w:r>
      <w:r>
        <w:rPr>
          <w:sz w:val="24"/>
          <w:szCs w:val="24"/>
        </w:rPr>
        <w:t>esistance Rest Form</w:t>
      </w:r>
      <w:r>
        <w:rPr>
          <w:sz w:val="24"/>
          <w:szCs w:val="24"/>
        </w:rPr>
        <w:tab/>
      </w:r>
      <w:r>
        <w:rPr>
          <w:sz w:val="24"/>
          <w:szCs w:val="24"/>
        </w:rPr>
        <w:fldChar w:fldCharType="end"/>
      </w:r>
      <w:r>
        <w:rPr>
          <w:sz w:val="24"/>
          <w:szCs w:val="24"/>
        </w:rPr>
        <w:t>12</w:t>
      </w:r>
    </w:p>
    <w:p>
      <w:pPr>
        <w:pStyle w:val="15"/>
        <w:spacing w:line="360" w:lineRule="auto"/>
        <w:ind w:left="0" w:leftChars="0"/>
        <w:rPr>
          <w:sz w:val="24"/>
          <w:szCs w:val="24"/>
        </w:rPr>
      </w:pPr>
      <w:r>
        <w:fldChar w:fldCharType="begin"/>
      </w:r>
      <w:r>
        <w:instrText xml:space="preserve"> HYPERLINK \l "_Toc525997110" </w:instrText>
      </w:r>
      <w:r>
        <w:fldChar w:fldCharType="separate"/>
      </w:r>
      <w:r>
        <w:rPr>
          <w:sz w:val="24"/>
          <w:szCs w:val="24"/>
        </w:rPr>
        <w:t>Explanation of Wording in This Specification</w:t>
      </w:r>
      <w:r>
        <w:rPr>
          <w:sz w:val="24"/>
          <w:szCs w:val="24"/>
        </w:rPr>
        <w:tab/>
      </w:r>
      <w:r>
        <w:rPr>
          <w:sz w:val="24"/>
          <w:szCs w:val="24"/>
        </w:rPr>
        <w:fldChar w:fldCharType="end"/>
      </w:r>
      <w:r>
        <w:rPr>
          <w:sz w:val="24"/>
          <w:szCs w:val="24"/>
        </w:rPr>
        <w:t>13</w:t>
      </w:r>
    </w:p>
    <w:p>
      <w:pPr>
        <w:pStyle w:val="15"/>
        <w:spacing w:line="360" w:lineRule="auto"/>
        <w:ind w:left="0" w:leftChars="0"/>
        <w:rPr>
          <w:sz w:val="24"/>
          <w:szCs w:val="24"/>
        </w:rPr>
      </w:pPr>
      <w:r>
        <w:rPr>
          <w:sz w:val="24"/>
          <w:szCs w:val="24"/>
        </w:rPr>
        <w:t>List of Quoted Standards</w:t>
      </w:r>
      <w:r>
        <w:rPr>
          <w:sz w:val="24"/>
          <w:szCs w:val="24"/>
        </w:rPr>
        <w:tab/>
      </w:r>
      <w:r>
        <w:rPr>
          <w:sz w:val="24"/>
          <w:szCs w:val="24"/>
        </w:rPr>
        <w:t>14</w:t>
      </w:r>
    </w:p>
    <w:p>
      <w:pPr>
        <w:pStyle w:val="15"/>
        <w:spacing w:line="360" w:lineRule="auto"/>
        <w:ind w:left="0" w:leftChars="0"/>
        <w:rPr>
          <w:sz w:val="24"/>
          <w:szCs w:val="24"/>
        </w:rPr>
      </w:pPr>
      <w:r>
        <w:rPr>
          <w:sz w:val="24"/>
          <w:szCs w:val="24"/>
        </w:rPr>
        <w:t>Addition:</w:t>
      </w:r>
      <w:r>
        <w:fldChar w:fldCharType="begin"/>
      </w:r>
      <w:r>
        <w:instrText xml:space="preserve"> HYPERLINK \l "_Toc525997111" </w:instrText>
      </w:r>
      <w:r>
        <w:fldChar w:fldCharType="separate"/>
      </w:r>
      <w:r>
        <w:rPr>
          <w:sz w:val="24"/>
          <w:szCs w:val="24"/>
        </w:rPr>
        <w:t>Explanation of Provisions</w:t>
      </w:r>
      <w:r>
        <w:rPr>
          <w:sz w:val="24"/>
          <w:szCs w:val="24"/>
        </w:rPr>
        <w:tab/>
      </w:r>
      <w:r>
        <w:rPr>
          <w:sz w:val="24"/>
          <w:szCs w:val="24"/>
        </w:rPr>
        <w:fldChar w:fldCharType="end"/>
      </w:r>
      <w:r>
        <w:rPr>
          <w:sz w:val="24"/>
          <w:szCs w:val="24"/>
        </w:rPr>
        <w:t>15</w:t>
      </w:r>
    </w:p>
    <w:p>
      <w:pPr>
        <w:adjustRightInd w:val="0"/>
        <w:snapToGrid w:val="0"/>
        <w:spacing w:line="360" w:lineRule="auto"/>
        <w:ind w:firstLine="482" w:firstLineChars="200"/>
        <w:rPr>
          <w:bCs/>
          <w:sz w:val="24"/>
          <w:szCs w:val="24"/>
        </w:rPr>
      </w:pPr>
      <w:r>
        <w:rPr>
          <w:rFonts w:eastAsiaTheme="minorEastAsia"/>
          <w:b/>
          <w:bCs/>
          <w:sz w:val="24"/>
          <w:szCs w:val="24"/>
          <w:lang w:val="zh-CN"/>
        </w:rPr>
        <w:fldChar w:fldCharType="end"/>
      </w:r>
    </w:p>
    <w:p>
      <w:pPr>
        <w:spacing w:line="360" w:lineRule="auto"/>
        <w:jc w:val="left"/>
        <w:rPr>
          <w:sz w:val="24"/>
        </w:rPr>
      </w:pPr>
    </w:p>
    <w:p>
      <w:pPr>
        <w:adjustRightInd w:val="0"/>
        <w:snapToGrid w:val="0"/>
        <w:spacing w:line="440" w:lineRule="atLeast"/>
        <w:ind w:firstLine="480" w:firstLineChars="200"/>
        <w:rPr>
          <w:bCs/>
          <w:sz w:val="24"/>
          <w:szCs w:val="24"/>
        </w:rPr>
        <w:sectPr>
          <w:footerReference r:id="rId3" w:type="default"/>
          <w:pgSz w:w="11907" w:h="16839"/>
          <w:pgMar w:top="1701" w:right="1361" w:bottom="1701" w:left="1361" w:header="851" w:footer="992" w:gutter="0"/>
          <w:pgNumType w:start="0"/>
          <w:cols w:space="720" w:num="1"/>
          <w:titlePg/>
          <w:docGrid w:linePitch="460" w:charSpace="0"/>
        </w:sectPr>
      </w:pPr>
    </w:p>
    <w:p>
      <w:pPr>
        <w:pStyle w:val="2"/>
        <w:spacing w:before="240" w:after="360"/>
        <w:textAlignment w:val="center"/>
      </w:pPr>
      <w:bookmarkStart w:id="0" w:name="_Toc43819614"/>
      <w:bookmarkStart w:id="1" w:name="_Toc448651809"/>
      <w:bookmarkStart w:id="2" w:name="_Toc43819469"/>
      <w:r>
        <w:t>1  总  则</w:t>
      </w:r>
      <w:bookmarkEnd w:id="0"/>
      <w:bookmarkEnd w:id="1"/>
      <w:bookmarkEnd w:id="2"/>
    </w:p>
    <w:p>
      <w:pPr>
        <w:adjustRightInd w:val="0"/>
        <w:snapToGrid w:val="0"/>
        <w:spacing w:line="440" w:lineRule="exact"/>
        <w:rPr>
          <w:sz w:val="24"/>
        </w:rPr>
      </w:pPr>
      <w:r>
        <w:rPr>
          <w:b/>
          <w:sz w:val="24"/>
        </w:rPr>
        <w:t>1.0.1</w:t>
      </w:r>
      <w:r>
        <w:rPr>
          <w:bCs/>
          <w:sz w:val="24"/>
        </w:rPr>
        <w:t xml:space="preserve"> </w:t>
      </w:r>
      <w:r>
        <w:rPr>
          <w:sz w:val="24"/>
        </w:rPr>
        <w:t xml:space="preserve"> </w:t>
      </w:r>
      <w:r>
        <w:rPr>
          <w:rFonts w:hint="eastAsia"/>
          <w:sz w:val="24"/>
        </w:rPr>
        <w:t>为统一建</w:t>
      </w:r>
      <w:r>
        <w:rPr>
          <w:sz w:val="24"/>
        </w:rPr>
        <w:t>筑电气</w:t>
      </w:r>
      <w:r>
        <w:rPr>
          <w:rFonts w:hint="eastAsia"/>
          <w:sz w:val="24"/>
        </w:rPr>
        <w:t>线路</w:t>
      </w:r>
      <w:r>
        <w:rPr>
          <w:sz w:val="24"/>
        </w:rPr>
        <w:t>绝缘电阻、接地电阻的检测方法，</w:t>
      </w:r>
      <w:r>
        <w:rPr>
          <w:rFonts w:hint="eastAsia"/>
          <w:sz w:val="24"/>
        </w:rPr>
        <w:t>保障建筑工程质量，</w:t>
      </w:r>
      <w:r>
        <w:rPr>
          <w:sz w:val="24"/>
        </w:rPr>
        <w:t>制定本规程。</w:t>
      </w:r>
    </w:p>
    <w:p>
      <w:pPr>
        <w:adjustRightInd w:val="0"/>
        <w:snapToGrid w:val="0"/>
        <w:spacing w:line="440" w:lineRule="exact"/>
        <w:rPr>
          <w:sz w:val="24"/>
        </w:rPr>
      </w:pPr>
      <w:r>
        <w:rPr>
          <w:b/>
          <w:sz w:val="24"/>
        </w:rPr>
        <w:t xml:space="preserve">1.0.2 </w:t>
      </w:r>
      <w:r>
        <w:rPr>
          <w:sz w:val="24"/>
        </w:rPr>
        <w:t xml:space="preserve"> </w:t>
      </w:r>
      <w:r>
        <w:rPr>
          <w:rFonts w:hint="eastAsia"/>
          <w:sz w:val="24"/>
        </w:rPr>
        <w:t>本规程适用于新建、改建、扩建、既有建筑交流标称电压1000V 及以下，直流标称电压1500V 及以下的低压电气装置和供电系统的线路绝缘电阻检测及接地电阻检测</w:t>
      </w:r>
      <w:r>
        <w:rPr>
          <w:sz w:val="24"/>
        </w:rPr>
        <w:t>。</w:t>
      </w:r>
    </w:p>
    <w:p>
      <w:pPr>
        <w:adjustRightInd w:val="0"/>
        <w:snapToGrid w:val="0"/>
        <w:spacing w:line="440" w:lineRule="exact"/>
        <w:rPr>
          <w:sz w:val="24"/>
        </w:rPr>
      </w:pPr>
      <w:r>
        <w:rPr>
          <w:b/>
          <w:bCs/>
          <w:sz w:val="24"/>
        </w:rPr>
        <w:t xml:space="preserve">1.0.3 </w:t>
      </w:r>
      <w:r>
        <w:rPr>
          <w:sz w:val="24"/>
        </w:rPr>
        <w:t xml:space="preserve"> 本规程不适用于化学危险品场所、矿井井下、爆炸危险性场所、防静电的电气施工质量检测。</w:t>
      </w:r>
    </w:p>
    <w:p>
      <w:pPr>
        <w:adjustRightInd w:val="0"/>
        <w:snapToGrid w:val="0"/>
        <w:spacing w:line="440" w:lineRule="exact"/>
        <w:rPr>
          <w:sz w:val="24"/>
        </w:rPr>
      </w:pPr>
      <w:r>
        <w:rPr>
          <w:b/>
          <w:bCs/>
          <w:sz w:val="24"/>
        </w:rPr>
        <w:t>1.0.</w:t>
      </w:r>
      <w:r>
        <w:rPr>
          <w:rFonts w:hint="eastAsia"/>
          <w:b/>
          <w:bCs/>
          <w:sz w:val="24"/>
        </w:rPr>
        <w:t>4</w:t>
      </w:r>
      <w:r>
        <w:rPr>
          <w:b/>
          <w:bCs/>
          <w:sz w:val="24"/>
        </w:rPr>
        <w:t xml:space="preserve"> </w:t>
      </w:r>
      <w:r>
        <w:rPr>
          <w:sz w:val="24"/>
        </w:rPr>
        <w:t xml:space="preserve"> </w:t>
      </w:r>
      <w:r>
        <w:rPr>
          <w:rFonts w:hint="eastAsia"/>
          <w:sz w:val="24"/>
        </w:rPr>
        <w:t>建筑电气线路</w:t>
      </w:r>
      <w:r>
        <w:rPr>
          <w:sz w:val="24"/>
        </w:rPr>
        <w:t>绝缘电阻、接地电阻检测除应</w:t>
      </w:r>
      <w:r>
        <w:rPr>
          <w:rFonts w:hint="eastAsia"/>
          <w:sz w:val="24"/>
        </w:rPr>
        <w:t>符合本规程要求外</w:t>
      </w:r>
      <w:r>
        <w:rPr>
          <w:sz w:val="24"/>
        </w:rPr>
        <w:t>，</w:t>
      </w:r>
      <w:r>
        <w:rPr>
          <w:rFonts w:hint="eastAsia"/>
          <w:sz w:val="24"/>
        </w:rPr>
        <w:t>尚</w:t>
      </w:r>
      <w:r>
        <w:rPr>
          <w:sz w:val="24"/>
        </w:rPr>
        <w:t>应符合国家</w:t>
      </w:r>
      <w:r>
        <w:rPr>
          <w:rFonts w:hint="eastAsia"/>
          <w:sz w:val="24"/>
        </w:rPr>
        <w:t>、行业、自治区</w:t>
      </w:r>
      <w:r>
        <w:rPr>
          <w:sz w:val="24"/>
        </w:rPr>
        <w:t>现行有关标准</w:t>
      </w:r>
      <w:r>
        <w:rPr>
          <w:rFonts w:hint="eastAsia"/>
          <w:sz w:val="24"/>
        </w:rPr>
        <w:t>的规定</w:t>
      </w:r>
      <w:r>
        <w:rPr>
          <w:sz w:val="24"/>
        </w:rPr>
        <w:t>。</w:t>
      </w:r>
    </w:p>
    <w:p>
      <w:pPr>
        <w:adjustRightInd w:val="0"/>
        <w:snapToGrid w:val="0"/>
        <w:spacing w:line="440" w:lineRule="atLeast"/>
        <w:ind w:firstLine="422" w:firstLineChars="200"/>
        <w:rPr>
          <w:b/>
          <w:szCs w:val="21"/>
        </w:rPr>
      </w:pPr>
    </w:p>
    <w:p>
      <w:pPr>
        <w:adjustRightInd w:val="0"/>
        <w:snapToGrid w:val="0"/>
        <w:spacing w:line="440" w:lineRule="atLeast"/>
        <w:rPr>
          <w:b/>
          <w:szCs w:val="21"/>
        </w:rPr>
      </w:pPr>
      <w:r>
        <w:rPr>
          <w:b/>
          <w:szCs w:val="21"/>
        </w:rPr>
        <w:t xml:space="preserve">    </w:t>
      </w:r>
    </w:p>
    <w:p>
      <w:pPr>
        <w:adjustRightInd w:val="0"/>
        <w:snapToGrid w:val="0"/>
        <w:spacing w:line="440" w:lineRule="atLeast"/>
        <w:rPr>
          <w:b/>
          <w:szCs w:val="21"/>
        </w:rPr>
      </w:pPr>
    </w:p>
    <w:p>
      <w:pPr>
        <w:adjustRightInd w:val="0"/>
        <w:snapToGrid w:val="0"/>
        <w:spacing w:line="440" w:lineRule="atLeast"/>
        <w:rPr>
          <w:b/>
          <w:szCs w:val="21"/>
        </w:rPr>
      </w:pPr>
    </w:p>
    <w:p>
      <w:pPr>
        <w:adjustRightInd w:val="0"/>
        <w:snapToGrid w:val="0"/>
        <w:spacing w:line="440" w:lineRule="atLeast"/>
        <w:rPr>
          <w:b/>
          <w:szCs w:val="21"/>
        </w:rPr>
      </w:pPr>
    </w:p>
    <w:p>
      <w:pPr>
        <w:adjustRightInd w:val="0"/>
        <w:snapToGrid w:val="0"/>
        <w:spacing w:line="440" w:lineRule="atLeast"/>
        <w:rPr>
          <w:b/>
          <w:szCs w:val="21"/>
        </w:rPr>
      </w:pPr>
    </w:p>
    <w:p>
      <w:pPr>
        <w:adjustRightInd w:val="0"/>
        <w:snapToGrid w:val="0"/>
        <w:spacing w:line="440" w:lineRule="atLeast"/>
        <w:rPr>
          <w:b/>
          <w:szCs w:val="21"/>
        </w:rPr>
      </w:pPr>
    </w:p>
    <w:p>
      <w:pPr>
        <w:adjustRightInd w:val="0"/>
        <w:snapToGrid w:val="0"/>
        <w:spacing w:line="440" w:lineRule="atLeast"/>
        <w:rPr>
          <w:b/>
          <w:szCs w:val="21"/>
        </w:rPr>
      </w:pPr>
    </w:p>
    <w:p>
      <w:pPr>
        <w:adjustRightInd w:val="0"/>
        <w:snapToGrid w:val="0"/>
        <w:spacing w:line="440" w:lineRule="atLeast"/>
        <w:rPr>
          <w:b/>
          <w:szCs w:val="21"/>
        </w:rPr>
      </w:pPr>
    </w:p>
    <w:p>
      <w:pPr>
        <w:adjustRightInd w:val="0"/>
        <w:snapToGrid w:val="0"/>
        <w:spacing w:line="440" w:lineRule="atLeast"/>
        <w:rPr>
          <w:b/>
          <w:szCs w:val="21"/>
        </w:rPr>
      </w:pPr>
    </w:p>
    <w:p>
      <w:pPr>
        <w:adjustRightInd w:val="0"/>
        <w:snapToGrid w:val="0"/>
        <w:spacing w:line="440" w:lineRule="atLeast"/>
        <w:rPr>
          <w:b/>
          <w:szCs w:val="21"/>
        </w:rPr>
      </w:pPr>
    </w:p>
    <w:p>
      <w:pPr>
        <w:adjustRightInd w:val="0"/>
        <w:snapToGrid w:val="0"/>
        <w:spacing w:line="440" w:lineRule="atLeast"/>
        <w:rPr>
          <w:b/>
          <w:szCs w:val="21"/>
        </w:rPr>
      </w:pPr>
    </w:p>
    <w:p>
      <w:pPr>
        <w:adjustRightInd w:val="0"/>
        <w:snapToGrid w:val="0"/>
        <w:spacing w:line="440" w:lineRule="atLeast"/>
        <w:rPr>
          <w:b/>
          <w:sz w:val="24"/>
          <w:szCs w:val="24"/>
        </w:rPr>
      </w:pPr>
    </w:p>
    <w:p>
      <w:pPr>
        <w:adjustRightInd w:val="0"/>
        <w:snapToGrid w:val="0"/>
        <w:spacing w:line="300" w:lineRule="auto"/>
        <w:jc w:val="center"/>
        <w:rPr>
          <w:b/>
          <w:sz w:val="32"/>
          <w:szCs w:val="32"/>
        </w:rPr>
      </w:pPr>
    </w:p>
    <w:p>
      <w:pPr>
        <w:adjustRightInd w:val="0"/>
        <w:snapToGrid w:val="0"/>
        <w:spacing w:line="300" w:lineRule="auto"/>
        <w:jc w:val="center"/>
        <w:rPr>
          <w:b/>
          <w:sz w:val="32"/>
          <w:szCs w:val="32"/>
        </w:rPr>
      </w:pPr>
    </w:p>
    <w:p>
      <w:pPr>
        <w:adjustRightInd w:val="0"/>
        <w:snapToGrid w:val="0"/>
        <w:spacing w:line="300" w:lineRule="auto"/>
        <w:rPr>
          <w:b/>
          <w:sz w:val="32"/>
          <w:szCs w:val="32"/>
        </w:rPr>
      </w:pPr>
    </w:p>
    <w:p>
      <w:pPr>
        <w:adjustRightInd w:val="0"/>
        <w:snapToGrid w:val="0"/>
        <w:spacing w:line="300" w:lineRule="auto"/>
        <w:rPr>
          <w:b/>
          <w:sz w:val="32"/>
          <w:szCs w:val="32"/>
        </w:rPr>
      </w:pPr>
    </w:p>
    <w:p>
      <w:pPr>
        <w:pStyle w:val="2"/>
        <w:spacing w:before="240" w:after="360"/>
        <w:textAlignment w:val="center"/>
      </w:pPr>
      <w:bookmarkStart w:id="3" w:name="_Toc43819615"/>
      <w:bookmarkStart w:id="4" w:name="_Toc448651810"/>
      <w:bookmarkStart w:id="5" w:name="_Toc43819470"/>
      <w:r>
        <w:t>2  术  语</w:t>
      </w:r>
      <w:bookmarkEnd w:id="3"/>
      <w:bookmarkEnd w:id="4"/>
      <w:bookmarkEnd w:id="5"/>
    </w:p>
    <w:p>
      <w:pPr>
        <w:adjustRightInd w:val="0"/>
        <w:snapToGrid w:val="0"/>
        <w:spacing w:line="440" w:lineRule="exact"/>
        <w:rPr>
          <w:b/>
          <w:sz w:val="24"/>
          <w:szCs w:val="24"/>
        </w:rPr>
      </w:pPr>
      <w:r>
        <w:rPr>
          <w:b/>
          <w:sz w:val="24"/>
          <w:szCs w:val="24"/>
        </w:rPr>
        <w:t>2.0.1</w:t>
      </w:r>
      <w:r>
        <w:rPr>
          <w:rFonts w:hint="eastAsia"/>
          <w:sz w:val="24"/>
          <w:szCs w:val="24"/>
        </w:rPr>
        <w:t xml:space="preserve">  用电设备 current-using equipment</w:t>
      </w:r>
    </w:p>
    <w:p>
      <w:pPr>
        <w:adjustRightInd w:val="0"/>
        <w:snapToGrid w:val="0"/>
        <w:spacing w:line="440" w:lineRule="exact"/>
        <w:ind w:firstLine="480"/>
        <w:rPr>
          <w:sz w:val="24"/>
          <w:szCs w:val="24"/>
        </w:rPr>
      </w:pPr>
      <w:r>
        <w:rPr>
          <w:rFonts w:hint="eastAsia"/>
          <w:sz w:val="24"/>
          <w:szCs w:val="24"/>
        </w:rPr>
        <w:t>用于将电能转换成其他形式能量的电气设备。</w:t>
      </w:r>
    </w:p>
    <w:p>
      <w:pPr>
        <w:tabs>
          <w:tab w:val="left" w:pos="540"/>
        </w:tabs>
        <w:adjustRightInd w:val="0"/>
        <w:snapToGrid w:val="0"/>
        <w:spacing w:line="440" w:lineRule="exact"/>
        <w:jc w:val="left"/>
        <w:rPr>
          <w:sz w:val="24"/>
          <w:szCs w:val="24"/>
        </w:rPr>
      </w:pPr>
      <w:r>
        <w:rPr>
          <w:b/>
          <w:sz w:val="24"/>
          <w:szCs w:val="24"/>
        </w:rPr>
        <w:t>2.0.2</w:t>
      </w:r>
      <w:r>
        <w:rPr>
          <w:rFonts w:hint="eastAsia"/>
          <w:sz w:val="24"/>
          <w:szCs w:val="24"/>
        </w:rPr>
        <w:t xml:space="preserve">  电气装置 electrical installation</w:t>
      </w:r>
    </w:p>
    <w:p>
      <w:pPr>
        <w:adjustRightInd w:val="0"/>
        <w:snapToGrid w:val="0"/>
        <w:spacing w:line="440" w:lineRule="exact"/>
        <w:rPr>
          <w:sz w:val="24"/>
          <w:szCs w:val="24"/>
        </w:rPr>
      </w:pPr>
      <w:r>
        <w:rPr>
          <w:sz w:val="24"/>
          <w:szCs w:val="24"/>
        </w:rPr>
        <w:t xml:space="preserve">    </w:t>
      </w:r>
      <w:r>
        <w:rPr>
          <w:rFonts w:hint="eastAsia"/>
          <w:sz w:val="24"/>
          <w:szCs w:val="24"/>
        </w:rPr>
        <w:t>由相关电气设备组成的，具有为实现特定目的所需的相互协调的特性的组合。</w:t>
      </w:r>
    </w:p>
    <w:p>
      <w:pPr>
        <w:adjustRightInd w:val="0"/>
        <w:snapToGrid w:val="0"/>
        <w:spacing w:line="440" w:lineRule="exact"/>
        <w:rPr>
          <w:bCs/>
          <w:sz w:val="24"/>
          <w:szCs w:val="24"/>
        </w:rPr>
      </w:pPr>
      <w:r>
        <w:rPr>
          <w:b/>
          <w:sz w:val="24"/>
          <w:szCs w:val="24"/>
        </w:rPr>
        <w:t>2.0.3</w:t>
      </w:r>
      <w:r>
        <w:rPr>
          <w:sz w:val="24"/>
          <w:szCs w:val="24"/>
        </w:rPr>
        <w:t xml:space="preserve">  </w:t>
      </w:r>
      <w:r>
        <w:rPr>
          <w:rFonts w:hint="eastAsia"/>
          <w:bCs/>
          <w:sz w:val="24"/>
          <w:szCs w:val="24"/>
        </w:rPr>
        <w:t>馈电线路 feeder line</w:t>
      </w:r>
    </w:p>
    <w:p>
      <w:pPr>
        <w:tabs>
          <w:tab w:val="left" w:pos="540"/>
        </w:tabs>
        <w:adjustRightInd w:val="0"/>
        <w:snapToGrid w:val="0"/>
        <w:spacing w:line="440" w:lineRule="exact"/>
        <w:ind w:firstLine="465"/>
        <w:jc w:val="left"/>
        <w:rPr>
          <w:bCs/>
          <w:sz w:val="24"/>
          <w:szCs w:val="24"/>
        </w:rPr>
      </w:pPr>
      <w:r>
        <w:rPr>
          <w:rFonts w:hint="eastAsia"/>
          <w:bCs/>
          <w:sz w:val="24"/>
          <w:szCs w:val="24"/>
        </w:rPr>
        <w:t>电源端向负载设备供电的输电线路</w:t>
      </w:r>
      <w:r>
        <w:rPr>
          <w:bCs/>
          <w:sz w:val="24"/>
          <w:szCs w:val="24"/>
        </w:rPr>
        <w:t>。</w:t>
      </w:r>
    </w:p>
    <w:p>
      <w:pPr>
        <w:tabs>
          <w:tab w:val="left" w:pos="540"/>
        </w:tabs>
        <w:adjustRightInd w:val="0"/>
        <w:snapToGrid w:val="0"/>
        <w:spacing w:line="440" w:lineRule="exact"/>
        <w:jc w:val="left"/>
        <w:rPr>
          <w:sz w:val="24"/>
          <w:szCs w:val="24"/>
        </w:rPr>
      </w:pPr>
      <w:r>
        <w:rPr>
          <w:rFonts w:hint="eastAsia"/>
          <w:b/>
          <w:bCs/>
          <w:sz w:val="24"/>
          <w:szCs w:val="24"/>
        </w:rPr>
        <w:t>2.0.4</w:t>
      </w:r>
      <w:r>
        <w:rPr>
          <w:rFonts w:hint="eastAsia"/>
          <w:sz w:val="24"/>
          <w:szCs w:val="24"/>
        </w:rPr>
        <w:t xml:space="preserve">  绝缘电阻 insulation resistance</w:t>
      </w:r>
    </w:p>
    <w:p>
      <w:pPr>
        <w:tabs>
          <w:tab w:val="left" w:pos="540"/>
        </w:tabs>
        <w:adjustRightInd w:val="0"/>
        <w:snapToGrid w:val="0"/>
        <w:spacing w:line="440" w:lineRule="exact"/>
        <w:ind w:firstLine="465"/>
        <w:jc w:val="left"/>
        <w:rPr>
          <w:sz w:val="24"/>
          <w:szCs w:val="24"/>
        </w:rPr>
      </w:pPr>
      <w:r>
        <w:rPr>
          <w:rFonts w:hint="eastAsia"/>
          <w:sz w:val="24"/>
          <w:szCs w:val="24"/>
        </w:rPr>
        <w:t>在规定条件下，处于两个导体之间的绝缘材料的电阻，是加在电极上的直流电压与施加电压一定时间后电极间总电流之比。</w:t>
      </w:r>
    </w:p>
    <w:p>
      <w:pPr>
        <w:tabs>
          <w:tab w:val="left" w:pos="540"/>
        </w:tabs>
        <w:adjustRightInd w:val="0"/>
        <w:snapToGrid w:val="0"/>
        <w:spacing w:line="440" w:lineRule="exact"/>
        <w:jc w:val="left"/>
        <w:rPr>
          <w:sz w:val="24"/>
          <w:szCs w:val="24"/>
        </w:rPr>
      </w:pPr>
      <w:r>
        <w:rPr>
          <w:rFonts w:hint="eastAsia"/>
          <w:b/>
          <w:bCs/>
          <w:sz w:val="24"/>
          <w:szCs w:val="24"/>
        </w:rPr>
        <w:t>2.0.5</w:t>
      </w:r>
      <w:r>
        <w:rPr>
          <w:rFonts w:hint="eastAsia"/>
          <w:sz w:val="24"/>
          <w:szCs w:val="24"/>
        </w:rPr>
        <w:t xml:space="preserve">  额定输出电压 rated output voltage</w:t>
      </w:r>
    </w:p>
    <w:p>
      <w:pPr>
        <w:tabs>
          <w:tab w:val="left" w:pos="540"/>
        </w:tabs>
        <w:adjustRightInd w:val="0"/>
        <w:snapToGrid w:val="0"/>
        <w:spacing w:line="440" w:lineRule="exact"/>
        <w:ind w:firstLine="465"/>
        <w:jc w:val="left"/>
        <w:rPr>
          <w:sz w:val="24"/>
          <w:szCs w:val="24"/>
        </w:rPr>
      </w:pPr>
      <w:r>
        <w:rPr>
          <w:rFonts w:hint="eastAsia"/>
          <w:sz w:val="24"/>
          <w:szCs w:val="24"/>
        </w:rPr>
        <w:t>绝缘电阻表测量端处于开路状态下输出电压的标称值。</w:t>
      </w:r>
    </w:p>
    <w:p>
      <w:pPr>
        <w:tabs>
          <w:tab w:val="left" w:pos="540"/>
        </w:tabs>
        <w:adjustRightInd w:val="0"/>
        <w:snapToGrid w:val="0"/>
        <w:spacing w:line="440" w:lineRule="exact"/>
        <w:jc w:val="left"/>
        <w:rPr>
          <w:sz w:val="24"/>
          <w:szCs w:val="24"/>
        </w:rPr>
      </w:pPr>
      <w:r>
        <w:rPr>
          <w:rFonts w:hint="eastAsia"/>
          <w:b/>
          <w:bCs/>
          <w:sz w:val="24"/>
          <w:szCs w:val="24"/>
        </w:rPr>
        <w:t>2.0.6</w:t>
      </w:r>
      <w:r>
        <w:rPr>
          <w:rFonts w:hint="eastAsia"/>
          <w:sz w:val="24"/>
          <w:szCs w:val="24"/>
        </w:rPr>
        <w:t xml:space="preserve">  开路输出电压 </w:t>
      </w:r>
      <w:r>
        <w:rPr>
          <w:sz w:val="24"/>
          <w:szCs w:val="24"/>
        </w:rPr>
        <w:t xml:space="preserve">open circuit </w:t>
      </w:r>
      <w:r>
        <w:rPr>
          <w:rFonts w:hint="eastAsia"/>
          <w:sz w:val="24"/>
          <w:szCs w:val="24"/>
        </w:rPr>
        <w:t xml:space="preserve">output </w:t>
      </w:r>
      <w:r>
        <w:rPr>
          <w:sz w:val="24"/>
          <w:szCs w:val="24"/>
        </w:rPr>
        <w:t>voltage</w:t>
      </w:r>
    </w:p>
    <w:p>
      <w:pPr>
        <w:tabs>
          <w:tab w:val="left" w:pos="540"/>
        </w:tabs>
        <w:adjustRightInd w:val="0"/>
        <w:snapToGrid w:val="0"/>
        <w:spacing w:line="440" w:lineRule="exact"/>
        <w:ind w:firstLine="465"/>
        <w:jc w:val="left"/>
        <w:rPr>
          <w:sz w:val="24"/>
          <w:szCs w:val="24"/>
        </w:rPr>
      </w:pPr>
      <w:r>
        <w:rPr>
          <w:rFonts w:hint="eastAsia"/>
          <w:sz w:val="24"/>
          <w:szCs w:val="24"/>
        </w:rPr>
        <w:t>绝缘电阻表测量端处于开路状态下所测量的输出电压实测值。</w:t>
      </w:r>
    </w:p>
    <w:p>
      <w:pPr>
        <w:tabs>
          <w:tab w:val="left" w:pos="540"/>
        </w:tabs>
        <w:adjustRightInd w:val="0"/>
        <w:snapToGrid w:val="0"/>
        <w:spacing w:line="440" w:lineRule="exact"/>
        <w:jc w:val="left"/>
        <w:rPr>
          <w:sz w:val="24"/>
          <w:szCs w:val="24"/>
        </w:rPr>
      </w:pPr>
      <w:r>
        <w:rPr>
          <w:rFonts w:hint="eastAsia"/>
          <w:b/>
          <w:bCs/>
          <w:sz w:val="24"/>
          <w:szCs w:val="24"/>
        </w:rPr>
        <w:t>2.0.7</w:t>
      </w:r>
      <w:r>
        <w:rPr>
          <w:rFonts w:hint="eastAsia"/>
          <w:sz w:val="24"/>
          <w:szCs w:val="24"/>
        </w:rPr>
        <w:t xml:space="preserve">  接地体 grounding electrode</w:t>
      </w:r>
    </w:p>
    <w:p>
      <w:pPr>
        <w:tabs>
          <w:tab w:val="left" w:pos="540"/>
        </w:tabs>
        <w:adjustRightInd w:val="0"/>
        <w:snapToGrid w:val="0"/>
        <w:spacing w:line="440" w:lineRule="exact"/>
        <w:ind w:firstLine="465"/>
        <w:jc w:val="left"/>
        <w:rPr>
          <w:sz w:val="24"/>
          <w:szCs w:val="24"/>
        </w:rPr>
      </w:pPr>
      <w:r>
        <w:rPr>
          <w:rFonts w:hint="eastAsia"/>
          <w:sz w:val="24"/>
          <w:szCs w:val="24"/>
        </w:rPr>
        <w:t>埋入地中并直接与大地接触的金属导体称为接地体，分为水平接地体和垂直接地体。</w:t>
      </w:r>
    </w:p>
    <w:p>
      <w:pPr>
        <w:tabs>
          <w:tab w:val="left" w:pos="540"/>
        </w:tabs>
        <w:adjustRightInd w:val="0"/>
        <w:snapToGrid w:val="0"/>
        <w:spacing w:line="440" w:lineRule="exact"/>
        <w:jc w:val="left"/>
        <w:rPr>
          <w:sz w:val="24"/>
          <w:szCs w:val="24"/>
        </w:rPr>
      </w:pPr>
      <w:r>
        <w:rPr>
          <w:rFonts w:hint="eastAsia"/>
          <w:b/>
          <w:bCs/>
          <w:sz w:val="24"/>
          <w:szCs w:val="24"/>
        </w:rPr>
        <w:t xml:space="preserve">2.0.8  </w:t>
      </w:r>
      <w:r>
        <w:rPr>
          <w:rFonts w:hint="eastAsia"/>
          <w:sz w:val="24"/>
          <w:szCs w:val="24"/>
        </w:rPr>
        <w:t>自然接地体 natural grounding electrode</w:t>
      </w:r>
    </w:p>
    <w:p>
      <w:pPr>
        <w:tabs>
          <w:tab w:val="left" w:pos="540"/>
        </w:tabs>
        <w:adjustRightInd w:val="0"/>
        <w:snapToGrid w:val="0"/>
        <w:spacing w:line="440" w:lineRule="exact"/>
        <w:ind w:firstLine="465"/>
        <w:jc w:val="left"/>
        <w:rPr>
          <w:sz w:val="24"/>
          <w:szCs w:val="24"/>
        </w:rPr>
      </w:pPr>
      <w:r>
        <w:rPr>
          <w:rFonts w:hint="eastAsia"/>
          <w:sz w:val="24"/>
          <w:szCs w:val="24"/>
        </w:rPr>
        <w:t>可利用作为接地用的直接与大地接触的各种金属构件、金属井管、钢筋混凝土建筑的基础、金属管道和设备等。</w:t>
      </w:r>
    </w:p>
    <w:p>
      <w:pPr>
        <w:tabs>
          <w:tab w:val="left" w:pos="540"/>
        </w:tabs>
        <w:adjustRightInd w:val="0"/>
        <w:snapToGrid w:val="0"/>
        <w:spacing w:line="440" w:lineRule="exact"/>
        <w:jc w:val="left"/>
        <w:rPr>
          <w:sz w:val="24"/>
          <w:szCs w:val="24"/>
        </w:rPr>
      </w:pPr>
      <w:r>
        <w:rPr>
          <w:rFonts w:hint="eastAsia"/>
          <w:b/>
          <w:bCs/>
          <w:sz w:val="24"/>
          <w:szCs w:val="24"/>
        </w:rPr>
        <w:t xml:space="preserve">2.0.9  </w:t>
      </w:r>
      <w:r>
        <w:rPr>
          <w:rFonts w:hint="eastAsia"/>
          <w:sz w:val="24"/>
          <w:szCs w:val="24"/>
        </w:rPr>
        <w:t>接地线（导体） grounding conductor</w:t>
      </w:r>
    </w:p>
    <w:p>
      <w:pPr>
        <w:tabs>
          <w:tab w:val="left" w:pos="540"/>
        </w:tabs>
        <w:adjustRightInd w:val="0"/>
        <w:snapToGrid w:val="0"/>
        <w:spacing w:line="440" w:lineRule="exact"/>
        <w:ind w:firstLine="465"/>
        <w:jc w:val="left"/>
        <w:rPr>
          <w:sz w:val="24"/>
          <w:szCs w:val="24"/>
        </w:rPr>
      </w:pPr>
      <w:r>
        <w:rPr>
          <w:rFonts w:hint="eastAsia"/>
          <w:sz w:val="24"/>
          <w:szCs w:val="24"/>
        </w:rPr>
        <w:t>电气设备、接闪器的接地端子与接地极连接用的，在正常情况下不载流的金属导体。</w:t>
      </w:r>
    </w:p>
    <w:p>
      <w:pPr>
        <w:tabs>
          <w:tab w:val="left" w:pos="540"/>
        </w:tabs>
        <w:adjustRightInd w:val="0"/>
        <w:snapToGrid w:val="0"/>
        <w:spacing w:line="440" w:lineRule="exact"/>
        <w:jc w:val="left"/>
        <w:rPr>
          <w:sz w:val="24"/>
          <w:szCs w:val="24"/>
        </w:rPr>
      </w:pPr>
      <w:r>
        <w:rPr>
          <w:rFonts w:hint="eastAsia"/>
          <w:b/>
          <w:bCs/>
          <w:sz w:val="24"/>
          <w:szCs w:val="24"/>
        </w:rPr>
        <w:t>2.0.10</w:t>
      </w:r>
      <w:r>
        <w:rPr>
          <w:rFonts w:hint="eastAsia"/>
          <w:sz w:val="24"/>
          <w:szCs w:val="24"/>
        </w:rPr>
        <w:tab/>
      </w:r>
      <w:r>
        <w:rPr>
          <w:rFonts w:hint="eastAsia"/>
          <w:sz w:val="24"/>
          <w:szCs w:val="24"/>
        </w:rPr>
        <w:t>接地装置 earth-termination system</w:t>
      </w:r>
    </w:p>
    <w:p>
      <w:pPr>
        <w:tabs>
          <w:tab w:val="left" w:pos="540"/>
        </w:tabs>
        <w:adjustRightInd w:val="0"/>
        <w:snapToGrid w:val="0"/>
        <w:spacing w:line="440" w:lineRule="exact"/>
        <w:ind w:firstLine="465"/>
        <w:jc w:val="left"/>
        <w:rPr>
          <w:sz w:val="24"/>
          <w:szCs w:val="24"/>
        </w:rPr>
      </w:pPr>
      <w:r>
        <w:rPr>
          <w:rFonts w:hint="eastAsia"/>
          <w:sz w:val="24"/>
          <w:szCs w:val="24"/>
        </w:rPr>
        <w:t>接地体和接地线的总合，用于传导短路电流并将其流散入大地。</w:t>
      </w:r>
    </w:p>
    <w:p>
      <w:pPr>
        <w:tabs>
          <w:tab w:val="left" w:pos="540"/>
        </w:tabs>
        <w:adjustRightInd w:val="0"/>
        <w:snapToGrid w:val="0"/>
        <w:spacing w:line="440" w:lineRule="exact"/>
        <w:jc w:val="left"/>
        <w:rPr>
          <w:sz w:val="24"/>
          <w:szCs w:val="24"/>
        </w:rPr>
      </w:pPr>
      <w:r>
        <w:rPr>
          <w:rFonts w:hint="eastAsia"/>
          <w:b/>
          <w:bCs/>
          <w:sz w:val="24"/>
          <w:szCs w:val="24"/>
        </w:rPr>
        <w:t>2.0.11</w:t>
      </w:r>
      <w:r>
        <w:rPr>
          <w:rFonts w:hint="eastAsia"/>
          <w:sz w:val="24"/>
          <w:szCs w:val="24"/>
        </w:rPr>
        <w:tab/>
      </w:r>
      <w:r>
        <w:rPr>
          <w:rFonts w:hint="eastAsia"/>
          <w:sz w:val="24"/>
          <w:szCs w:val="24"/>
        </w:rPr>
        <w:t>接地 grounded</w:t>
      </w:r>
    </w:p>
    <w:p>
      <w:pPr>
        <w:tabs>
          <w:tab w:val="left" w:pos="540"/>
        </w:tabs>
        <w:adjustRightInd w:val="0"/>
        <w:snapToGrid w:val="0"/>
        <w:spacing w:line="440" w:lineRule="exact"/>
        <w:ind w:firstLine="465"/>
        <w:jc w:val="left"/>
        <w:rPr>
          <w:sz w:val="24"/>
          <w:szCs w:val="24"/>
        </w:rPr>
      </w:pPr>
      <w:r>
        <w:rPr>
          <w:rFonts w:hint="eastAsia"/>
          <w:sz w:val="24"/>
          <w:szCs w:val="24"/>
        </w:rPr>
        <w:t>将电力系统或建筑物电气装置、设施、过电压保护装置用接地线与接地极连接</w:t>
      </w:r>
    </w:p>
    <w:p>
      <w:pPr>
        <w:tabs>
          <w:tab w:val="left" w:pos="540"/>
        </w:tabs>
        <w:adjustRightInd w:val="0"/>
        <w:snapToGrid w:val="0"/>
        <w:spacing w:line="440" w:lineRule="exact"/>
        <w:jc w:val="left"/>
        <w:rPr>
          <w:sz w:val="24"/>
          <w:szCs w:val="24"/>
        </w:rPr>
      </w:pPr>
      <w:r>
        <w:rPr>
          <w:rFonts w:hint="eastAsia"/>
          <w:b/>
          <w:bCs/>
          <w:sz w:val="24"/>
          <w:szCs w:val="24"/>
        </w:rPr>
        <w:t>2.0.12</w:t>
      </w:r>
      <w:r>
        <w:rPr>
          <w:rFonts w:hint="eastAsia"/>
          <w:sz w:val="24"/>
          <w:szCs w:val="24"/>
        </w:rPr>
        <w:tab/>
      </w:r>
      <w:r>
        <w:rPr>
          <w:rFonts w:hint="eastAsia"/>
          <w:sz w:val="24"/>
          <w:szCs w:val="24"/>
        </w:rPr>
        <w:t>接地电阻 ground resistance</w:t>
      </w:r>
    </w:p>
    <w:p>
      <w:pPr>
        <w:tabs>
          <w:tab w:val="left" w:pos="540"/>
        </w:tabs>
        <w:adjustRightInd w:val="0"/>
        <w:snapToGrid w:val="0"/>
        <w:spacing w:line="440" w:lineRule="exact"/>
        <w:ind w:firstLine="465"/>
        <w:jc w:val="left"/>
        <w:rPr>
          <w:sz w:val="24"/>
          <w:szCs w:val="24"/>
        </w:rPr>
      </w:pPr>
      <w:r>
        <w:rPr>
          <w:rFonts w:hint="eastAsia"/>
          <w:sz w:val="24"/>
          <w:szCs w:val="24"/>
        </w:rPr>
        <w:t>电流由接地装置流入大地再经大地流向另一接地体或向远处扩散所遇到的电阻，它包括接地线和接地体本身的电阻、接地体与大地的电阻之间的接触电阻以及两接地体之间大地的电阻或接地体到无限远处的大地电阻。</w:t>
      </w:r>
    </w:p>
    <w:p>
      <w:pPr>
        <w:tabs>
          <w:tab w:val="left" w:pos="540"/>
        </w:tabs>
        <w:adjustRightInd w:val="0"/>
        <w:snapToGrid w:val="0"/>
        <w:spacing w:line="440" w:lineRule="exact"/>
        <w:jc w:val="left"/>
        <w:rPr>
          <w:sz w:val="24"/>
          <w:szCs w:val="24"/>
        </w:rPr>
      </w:pPr>
      <w:r>
        <w:rPr>
          <w:rFonts w:hint="eastAsia"/>
          <w:b/>
          <w:bCs/>
          <w:sz w:val="24"/>
          <w:szCs w:val="24"/>
        </w:rPr>
        <w:t>2.0.13</w:t>
      </w:r>
      <w:r>
        <w:rPr>
          <w:rFonts w:hint="eastAsia"/>
          <w:b/>
          <w:bCs/>
          <w:sz w:val="24"/>
          <w:szCs w:val="24"/>
        </w:rPr>
        <w:tab/>
      </w:r>
      <w:r>
        <w:rPr>
          <w:rFonts w:hint="eastAsia"/>
          <w:sz w:val="24"/>
          <w:szCs w:val="24"/>
        </w:rPr>
        <w:t>保护接地 safety earthing</w:t>
      </w:r>
    </w:p>
    <w:p>
      <w:pPr>
        <w:tabs>
          <w:tab w:val="left" w:pos="540"/>
        </w:tabs>
        <w:adjustRightInd w:val="0"/>
        <w:snapToGrid w:val="0"/>
        <w:spacing w:line="440" w:lineRule="exact"/>
        <w:ind w:firstLine="465"/>
        <w:jc w:val="left"/>
        <w:rPr>
          <w:sz w:val="24"/>
          <w:szCs w:val="24"/>
        </w:rPr>
      </w:pPr>
      <w:r>
        <w:rPr>
          <w:rFonts w:hint="eastAsia"/>
          <w:sz w:val="24"/>
          <w:szCs w:val="24"/>
        </w:rPr>
        <w:t>为防止仪器的电气装置的金属外壳、构架和线路等带电危及人身和设备安全而进行的接地。</w:t>
      </w:r>
      <w:bookmarkStart w:id="6" w:name="_bookmark2"/>
      <w:bookmarkEnd w:id="6"/>
      <w:bookmarkStart w:id="7" w:name="3___基本规定__"/>
      <w:bookmarkEnd w:id="7"/>
    </w:p>
    <w:p>
      <w:pPr>
        <w:tabs>
          <w:tab w:val="left" w:pos="540"/>
        </w:tabs>
        <w:adjustRightInd w:val="0"/>
        <w:snapToGrid w:val="0"/>
        <w:spacing w:line="440" w:lineRule="exact"/>
        <w:ind w:firstLine="465"/>
        <w:jc w:val="left"/>
        <w:rPr>
          <w:sz w:val="24"/>
          <w:szCs w:val="24"/>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12"/>
        <w:adjustRightInd w:val="0"/>
        <w:snapToGrid w:val="0"/>
        <w:spacing w:line="440" w:lineRule="atLeast"/>
        <w:rPr>
          <w:rFonts w:eastAsia="宋体"/>
          <w:bCs/>
        </w:rPr>
      </w:pPr>
    </w:p>
    <w:p>
      <w:pPr>
        <w:pStyle w:val="2"/>
        <w:spacing w:before="240" w:after="360"/>
        <w:textAlignment w:val="center"/>
      </w:pPr>
      <w:bookmarkStart w:id="8" w:name="_Toc448651811"/>
      <w:r>
        <w:t xml:space="preserve"> </w:t>
      </w:r>
      <w:bookmarkStart w:id="9" w:name="_Toc43819616"/>
      <w:bookmarkStart w:id="10" w:name="_Toc43819471"/>
      <w:r>
        <w:t xml:space="preserve">3  </w:t>
      </w:r>
      <w:bookmarkEnd w:id="8"/>
      <w:r>
        <w:rPr>
          <w:rFonts w:hint="eastAsia"/>
        </w:rPr>
        <w:t>基本规定</w:t>
      </w:r>
      <w:bookmarkEnd w:id="9"/>
      <w:bookmarkEnd w:id="10"/>
    </w:p>
    <w:p>
      <w:pPr>
        <w:adjustRightInd w:val="0"/>
        <w:snapToGrid w:val="0"/>
        <w:spacing w:line="440" w:lineRule="exact"/>
        <w:rPr>
          <w:bCs/>
          <w:sz w:val="24"/>
        </w:rPr>
      </w:pPr>
      <w:r>
        <w:rPr>
          <w:b/>
          <w:bCs/>
          <w:sz w:val="24"/>
        </w:rPr>
        <w:t>3.</w:t>
      </w:r>
      <w:r>
        <w:rPr>
          <w:rFonts w:hint="eastAsia"/>
          <w:b/>
          <w:bCs/>
          <w:sz w:val="24"/>
        </w:rPr>
        <w:t>0</w:t>
      </w:r>
      <w:r>
        <w:rPr>
          <w:b/>
          <w:bCs/>
          <w:sz w:val="24"/>
        </w:rPr>
        <w:t xml:space="preserve">.1 </w:t>
      </w:r>
      <w:r>
        <w:rPr>
          <w:sz w:val="24"/>
        </w:rPr>
        <w:t xml:space="preserve"> </w:t>
      </w:r>
      <w:r>
        <w:rPr>
          <w:rFonts w:hint="eastAsia"/>
          <w:sz w:val="24"/>
        </w:rPr>
        <w:t>为保障建筑工程质量，</w:t>
      </w:r>
      <w:r>
        <w:rPr>
          <w:rFonts w:hint="eastAsia"/>
          <w:bCs/>
          <w:sz w:val="24"/>
        </w:rPr>
        <w:t>应对建筑物的低压电气线路绝缘电阻、接地电阻进行检测。</w:t>
      </w:r>
    </w:p>
    <w:p>
      <w:pPr>
        <w:tabs>
          <w:tab w:val="left" w:pos="709"/>
          <w:tab w:val="left" w:pos="851"/>
        </w:tabs>
        <w:adjustRightInd w:val="0"/>
        <w:snapToGrid w:val="0"/>
        <w:spacing w:line="440" w:lineRule="exact"/>
        <w:rPr>
          <w:sz w:val="24"/>
        </w:rPr>
      </w:pPr>
      <w:r>
        <w:rPr>
          <w:b/>
          <w:sz w:val="24"/>
        </w:rPr>
        <w:t>3.0.2</w:t>
      </w:r>
      <w:r>
        <w:rPr>
          <w:rFonts w:hint="eastAsia"/>
          <w:sz w:val="24"/>
        </w:rPr>
        <w:t xml:space="preserve">  检测人员应具备相应执业上岗条件。</w:t>
      </w:r>
    </w:p>
    <w:p>
      <w:pPr>
        <w:adjustRightInd w:val="0"/>
        <w:snapToGrid w:val="0"/>
        <w:spacing w:line="440" w:lineRule="exact"/>
        <w:rPr>
          <w:bCs/>
          <w:sz w:val="24"/>
        </w:rPr>
      </w:pPr>
      <w:r>
        <w:rPr>
          <w:b/>
          <w:bCs/>
          <w:sz w:val="24"/>
        </w:rPr>
        <w:t>3.0.</w:t>
      </w:r>
      <w:r>
        <w:rPr>
          <w:rFonts w:hint="eastAsia"/>
          <w:b/>
          <w:bCs/>
          <w:sz w:val="24"/>
        </w:rPr>
        <w:t xml:space="preserve">3  </w:t>
      </w:r>
      <w:r>
        <w:rPr>
          <w:bCs/>
          <w:sz w:val="24"/>
        </w:rPr>
        <w:t>现场检测前，</w:t>
      </w:r>
      <w:r>
        <w:rPr>
          <w:rFonts w:hint="eastAsia"/>
          <w:bCs/>
          <w:sz w:val="24"/>
        </w:rPr>
        <w:t>宜具备以下资料信息</w:t>
      </w:r>
      <w:r>
        <w:rPr>
          <w:bCs/>
          <w:sz w:val="24"/>
        </w:rPr>
        <w:t>：</w:t>
      </w:r>
    </w:p>
    <w:p>
      <w:pPr>
        <w:spacing w:line="440" w:lineRule="exact"/>
        <w:ind w:firstLine="360"/>
        <w:jc w:val="left"/>
        <w:rPr>
          <w:sz w:val="24"/>
          <w:szCs w:val="24"/>
        </w:rPr>
      </w:pPr>
      <w:r>
        <w:rPr>
          <w:sz w:val="24"/>
          <w:szCs w:val="24"/>
        </w:rPr>
        <w:t>1</w:t>
      </w:r>
      <w:r>
        <w:rPr>
          <w:rFonts w:hint="eastAsia"/>
          <w:sz w:val="24"/>
          <w:szCs w:val="24"/>
        </w:rPr>
        <w:t xml:space="preserve">  </w:t>
      </w:r>
      <w:r>
        <w:rPr>
          <w:sz w:val="24"/>
          <w:szCs w:val="24"/>
        </w:rPr>
        <w:t>工程名称、工程地址、建设单位和施工单位名称等信息。</w:t>
      </w:r>
    </w:p>
    <w:p>
      <w:pPr>
        <w:spacing w:line="440" w:lineRule="exact"/>
        <w:ind w:firstLine="360"/>
        <w:jc w:val="left"/>
        <w:rPr>
          <w:sz w:val="24"/>
          <w:szCs w:val="24"/>
        </w:rPr>
      </w:pPr>
      <w:r>
        <w:rPr>
          <w:sz w:val="24"/>
          <w:szCs w:val="24"/>
        </w:rPr>
        <w:t>2</w:t>
      </w:r>
      <w:r>
        <w:rPr>
          <w:rFonts w:hint="eastAsia"/>
          <w:sz w:val="24"/>
          <w:szCs w:val="24"/>
        </w:rPr>
        <w:t xml:space="preserve">  设计文件、图纸会审记录、设计变更和工程洽商记录</w:t>
      </w:r>
      <w:r>
        <w:rPr>
          <w:sz w:val="24"/>
          <w:szCs w:val="24"/>
        </w:rPr>
        <w:t>。</w:t>
      </w:r>
    </w:p>
    <w:p>
      <w:pPr>
        <w:spacing w:line="440" w:lineRule="exact"/>
        <w:ind w:firstLine="360"/>
        <w:jc w:val="left"/>
        <w:rPr>
          <w:sz w:val="24"/>
          <w:szCs w:val="24"/>
        </w:rPr>
      </w:pPr>
      <w:r>
        <w:rPr>
          <w:rFonts w:hint="eastAsia"/>
          <w:sz w:val="24"/>
          <w:szCs w:val="24"/>
        </w:rPr>
        <w:t xml:space="preserve">3  </w:t>
      </w:r>
      <w:r>
        <w:rPr>
          <w:sz w:val="24"/>
          <w:szCs w:val="24"/>
        </w:rPr>
        <w:t>导线及配电箱等产品和材料的检测报告。</w:t>
      </w:r>
    </w:p>
    <w:p>
      <w:pPr>
        <w:tabs>
          <w:tab w:val="left" w:pos="709"/>
        </w:tabs>
        <w:adjustRightInd w:val="0"/>
        <w:snapToGrid w:val="0"/>
        <w:spacing w:line="440" w:lineRule="exact"/>
        <w:rPr>
          <w:bCs/>
          <w:sz w:val="24"/>
        </w:rPr>
      </w:pPr>
      <w:r>
        <w:rPr>
          <w:b/>
          <w:bCs/>
          <w:sz w:val="24"/>
        </w:rPr>
        <w:t>3.0.</w:t>
      </w:r>
      <w:r>
        <w:rPr>
          <w:rFonts w:hint="eastAsia"/>
          <w:b/>
          <w:bCs/>
          <w:sz w:val="24"/>
        </w:rPr>
        <w:t>4</w:t>
      </w:r>
      <w:r>
        <w:rPr>
          <w:rFonts w:hint="eastAsia"/>
          <w:bCs/>
          <w:sz w:val="24"/>
        </w:rPr>
        <w:t xml:space="preserve">  检测仪器应检定/校准合格，使用时应在检定/校准有效期内。</w:t>
      </w:r>
    </w:p>
    <w:p>
      <w:pPr>
        <w:adjustRightInd w:val="0"/>
        <w:snapToGrid w:val="0"/>
        <w:spacing w:line="440" w:lineRule="exact"/>
        <w:rPr>
          <w:bCs/>
          <w:sz w:val="24"/>
        </w:rPr>
      </w:pPr>
      <w:r>
        <w:rPr>
          <w:b/>
          <w:bCs/>
          <w:sz w:val="24"/>
        </w:rPr>
        <w:t>3.0.</w:t>
      </w:r>
      <w:r>
        <w:rPr>
          <w:rFonts w:hint="eastAsia"/>
          <w:b/>
          <w:bCs/>
          <w:sz w:val="24"/>
        </w:rPr>
        <w:t>5</w:t>
      </w:r>
      <w:r>
        <w:rPr>
          <w:rFonts w:hint="eastAsia"/>
          <w:bCs/>
          <w:sz w:val="24"/>
        </w:rPr>
        <w:t xml:space="preserve">  检测前应有方案，抽检回路的分布应具有代表性。</w:t>
      </w:r>
    </w:p>
    <w:p>
      <w:pPr>
        <w:adjustRightInd w:val="0"/>
        <w:snapToGrid w:val="0"/>
        <w:spacing w:line="440" w:lineRule="exact"/>
        <w:rPr>
          <w:bCs/>
          <w:sz w:val="24"/>
        </w:rPr>
      </w:pPr>
      <w:r>
        <w:rPr>
          <w:b/>
          <w:bCs/>
          <w:sz w:val="24"/>
        </w:rPr>
        <w:t>3.0.</w:t>
      </w:r>
      <w:r>
        <w:rPr>
          <w:rFonts w:hint="eastAsia"/>
          <w:b/>
          <w:bCs/>
          <w:sz w:val="24"/>
        </w:rPr>
        <w:t>6</w:t>
      </w:r>
      <w:r>
        <w:rPr>
          <w:rFonts w:hint="eastAsia"/>
          <w:bCs/>
          <w:sz w:val="24"/>
        </w:rPr>
        <w:t xml:space="preserve">  </w:t>
      </w:r>
      <w:r>
        <w:rPr>
          <w:bCs/>
          <w:sz w:val="24"/>
        </w:rPr>
        <w:t>检测前检测人员应检查建筑电气</w:t>
      </w:r>
      <w:r>
        <w:rPr>
          <w:rFonts w:hint="eastAsia"/>
          <w:bCs/>
          <w:sz w:val="24"/>
        </w:rPr>
        <w:t>线路是否正确安装</w:t>
      </w:r>
      <w:r>
        <w:rPr>
          <w:bCs/>
          <w:sz w:val="24"/>
        </w:rPr>
        <w:t>、配电箱及其接线、接地线路的</w:t>
      </w:r>
      <w:r>
        <w:rPr>
          <w:rFonts w:hint="eastAsia"/>
          <w:bCs/>
          <w:sz w:val="24"/>
        </w:rPr>
        <w:t>连接是否牢固、防雷引下线测量端子是否已安装</w:t>
      </w:r>
      <w:r>
        <w:rPr>
          <w:bCs/>
          <w:sz w:val="24"/>
        </w:rPr>
        <w:t>。</w:t>
      </w:r>
      <w:r>
        <w:rPr>
          <w:rFonts w:hint="eastAsia"/>
          <w:bCs/>
          <w:sz w:val="24"/>
        </w:rPr>
        <w:t>电气设施、电器设备线缆的规格等应符合设计图纸和相关规范的要求。</w:t>
      </w:r>
    </w:p>
    <w:p>
      <w:pPr>
        <w:adjustRightInd w:val="0"/>
        <w:snapToGrid w:val="0"/>
        <w:spacing w:line="440" w:lineRule="exact"/>
        <w:rPr>
          <w:bCs/>
          <w:sz w:val="24"/>
        </w:rPr>
      </w:pPr>
      <w:r>
        <w:rPr>
          <w:b/>
          <w:bCs/>
          <w:sz w:val="24"/>
        </w:rPr>
        <w:t>3.0.</w:t>
      </w:r>
      <w:r>
        <w:rPr>
          <w:rFonts w:hint="eastAsia"/>
          <w:b/>
          <w:bCs/>
          <w:sz w:val="24"/>
        </w:rPr>
        <w:t>7</w:t>
      </w:r>
      <w:r>
        <w:rPr>
          <w:rFonts w:hint="eastAsia"/>
          <w:bCs/>
          <w:sz w:val="24"/>
        </w:rPr>
        <w:t xml:space="preserve">  检测过程</w:t>
      </w:r>
      <w:r>
        <w:rPr>
          <w:bCs/>
          <w:sz w:val="24"/>
        </w:rPr>
        <w:t>必须</w:t>
      </w:r>
      <w:r>
        <w:rPr>
          <w:rFonts w:hint="eastAsia"/>
          <w:bCs/>
          <w:sz w:val="24"/>
        </w:rPr>
        <w:t>进行</w:t>
      </w:r>
      <w:r>
        <w:rPr>
          <w:bCs/>
          <w:sz w:val="24"/>
        </w:rPr>
        <w:t>安全</w:t>
      </w:r>
      <w:r>
        <w:rPr>
          <w:rFonts w:hint="eastAsia"/>
          <w:bCs/>
          <w:sz w:val="24"/>
        </w:rPr>
        <w:t>检查并做好保障措施</w:t>
      </w:r>
      <w:r>
        <w:rPr>
          <w:bCs/>
          <w:sz w:val="24"/>
        </w:rPr>
        <w:t>，</w:t>
      </w:r>
      <w:r>
        <w:rPr>
          <w:rFonts w:hint="eastAsia"/>
          <w:bCs/>
          <w:sz w:val="24"/>
        </w:rPr>
        <w:t>且</w:t>
      </w:r>
      <w:r>
        <w:rPr>
          <w:bCs/>
          <w:sz w:val="24"/>
        </w:rPr>
        <w:t>应符合下列要求：</w:t>
      </w:r>
    </w:p>
    <w:p>
      <w:pPr>
        <w:spacing w:line="440" w:lineRule="exact"/>
        <w:ind w:firstLine="360"/>
        <w:jc w:val="left"/>
        <w:rPr>
          <w:sz w:val="24"/>
          <w:szCs w:val="24"/>
        </w:rPr>
      </w:pPr>
      <w:r>
        <w:rPr>
          <w:sz w:val="24"/>
          <w:szCs w:val="24"/>
        </w:rPr>
        <w:t>1</w:t>
      </w:r>
      <w:r>
        <w:rPr>
          <w:rFonts w:hint="eastAsia"/>
          <w:sz w:val="24"/>
          <w:szCs w:val="24"/>
        </w:rPr>
        <w:t xml:space="preserve">  </w:t>
      </w:r>
      <w:r>
        <w:rPr>
          <w:sz w:val="24"/>
          <w:szCs w:val="24"/>
        </w:rPr>
        <w:t>在未确认线路不通电前，应一律按有电状态进行处理作业。</w:t>
      </w:r>
    </w:p>
    <w:p>
      <w:pPr>
        <w:spacing w:line="440" w:lineRule="exact"/>
        <w:ind w:firstLine="360"/>
        <w:jc w:val="left"/>
        <w:rPr>
          <w:sz w:val="24"/>
          <w:szCs w:val="24"/>
        </w:rPr>
      </w:pPr>
      <w:r>
        <w:rPr>
          <w:sz w:val="24"/>
          <w:szCs w:val="24"/>
        </w:rPr>
        <w:t>2</w:t>
      </w:r>
      <w:r>
        <w:rPr>
          <w:rFonts w:hint="eastAsia"/>
          <w:sz w:val="24"/>
          <w:szCs w:val="24"/>
        </w:rPr>
        <w:t xml:space="preserve">  </w:t>
      </w:r>
      <w:r>
        <w:rPr>
          <w:sz w:val="24"/>
          <w:szCs w:val="24"/>
        </w:rPr>
        <w:t>在切断电源后，</w:t>
      </w:r>
      <w:r>
        <w:rPr>
          <w:rFonts w:hint="eastAsia"/>
          <w:sz w:val="24"/>
          <w:szCs w:val="24"/>
        </w:rPr>
        <w:t>应</w:t>
      </w:r>
      <w:r>
        <w:rPr>
          <w:sz w:val="24"/>
          <w:szCs w:val="24"/>
        </w:rPr>
        <w:t>再用试电笔确认无电后才能进行作业。</w:t>
      </w:r>
    </w:p>
    <w:p>
      <w:pPr>
        <w:spacing w:line="440" w:lineRule="exact"/>
        <w:ind w:firstLine="360"/>
        <w:jc w:val="left"/>
        <w:rPr>
          <w:sz w:val="24"/>
          <w:szCs w:val="24"/>
        </w:rPr>
      </w:pPr>
      <w:r>
        <w:rPr>
          <w:rFonts w:hint="eastAsia"/>
          <w:sz w:val="24"/>
          <w:szCs w:val="24"/>
        </w:rPr>
        <w:t xml:space="preserve">3  </w:t>
      </w:r>
      <w:r>
        <w:rPr>
          <w:sz w:val="24"/>
          <w:szCs w:val="24"/>
        </w:rPr>
        <w:t>切断电源后，应在电源开关醒目位置挂上“有人检修、禁止合闸”的</w:t>
      </w:r>
      <w:r>
        <w:rPr>
          <w:rFonts w:hint="eastAsia"/>
          <w:sz w:val="24"/>
          <w:szCs w:val="24"/>
        </w:rPr>
        <w:t>标识牌</w:t>
      </w:r>
      <w:r>
        <w:rPr>
          <w:sz w:val="24"/>
          <w:szCs w:val="24"/>
        </w:rPr>
        <w:t>，必要时派专人监守，</w:t>
      </w:r>
      <w:r>
        <w:rPr>
          <w:rFonts w:hint="eastAsia"/>
          <w:sz w:val="24"/>
          <w:szCs w:val="24"/>
        </w:rPr>
        <w:t>方可</w:t>
      </w:r>
      <w:r>
        <w:rPr>
          <w:sz w:val="24"/>
          <w:szCs w:val="24"/>
        </w:rPr>
        <w:t>进行作业。</w:t>
      </w:r>
    </w:p>
    <w:p>
      <w:pPr>
        <w:spacing w:line="440" w:lineRule="exact"/>
        <w:ind w:firstLine="360"/>
        <w:jc w:val="left"/>
        <w:rPr>
          <w:sz w:val="24"/>
          <w:szCs w:val="24"/>
        </w:rPr>
      </w:pPr>
      <w:r>
        <w:rPr>
          <w:rFonts w:hint="eastAsia"/>
          <w:sz w:val="24"/>
          <w:szCs w:val="24"/>
        </w:rPr>
        <w:t xml:space="preserve">4  </w:t>
      </w:r>
      <w:r>
        <w:rPr>
          <w:sz w:val="24"/>
          <w:szCs w:val="24"/>
        </w:rPr>
        <w:t>严禁在雷电天气进行检测。</w:t>
      </w:r>
    </w:p>
    <w:p>
      <w:pPr>
        <w:spacing w:line="300" w:lineRule="auto"/>
        <w:ind w:firstLine="360"/>
        <w:jc w:val="left"/>
        <w:rPr>
          <w:sz w:val="24"/>
          <w:szCs w:val="24"/>
        </w:rPr>
      </w:pPr>
    </w:p>
    <w:p>
      <w:pPr>
        <w:spacing w:line="300" w:lineRule="auto"/>
        <w:ind w:firstLine="360"/>
        <w:jc w:val="left"/>
        <w:rPr>
          <w:sz w:val="24"/>
          <w:szCs w:val="24"/>
        </w:rPr>
      </w:pPr>
    </w:p>
    <w:p>
      <w:pPr>
        <w:spacing w:line="300" w:lineRule="auto"/>
        <w:ind w:firstLine="360"/>
        <w:jc w:val="left"/>
        <w:rPr>
          <w:sz w:val="24"/>
          <w:szCs w:val="24"/>
        </w:rPr>
      </w:pPr>
    </w:p>
    <w:p>
      <w:pPr>
        <w:spacing w:line="300" w:lineRule="auto"/>
        <w:ind w:firstLine="360"/>
        <w:jc w:val="left"/>
        <w:rPr>
          <w:sz w:val="24"/>
          <w:szCs w:val="24"/>
        </w:rPr>
      </w:pPr>
    </w:p>
    <w:p>
      <w:pPr>
        <w:spacing w:line="300" w:lineRule="auto"/>
        <w:ind w:firstLine="360"/>
        <w:jc w:val="left"/>
        <w:rPr>
          <w:sz w:val="24"/>
          <w:szCs w:val="24"/>
        </w:rPr>
      </w:pPr>
    </w:p>
    <w:p>
      <w:pPr>
        <w:spacing w:line="300" w:lineRule="auto"/>
        <w:ind w:firstLine="360"/>
        <w:jc w:val="left"/>
        <w:rPr>
          <w:sz w:val="24"/>
          <w:szCs w:val="24"/>
        </w:rPr>
      </w:pPr>
    </w:p>
    <w:p>
      <w:pPr>
        <w:spacing w:line="300" w:lineRule="auto"/>
        <w:ind w:firstLine="360"/>
        <w:jc w:val="left"/>
        <w:rPr>
          <w:sz w:val="24"/>
          <w:szCs w:val="24"/>
        </w:rPr>
      </w:pPr>
    </w:p>
    <w:p>
      <w:pPr>
        <w:spacing w:line="300" w:lineRule="auto"/>
        <w:ind w:firstLine="360"/>
        <w:jc w:val="left"/>
        <w:rPr>
          <w:sz w:val="24"/>
          <w:szCs w:val="24"/>
        </w:rPr>
      </w:pPr>
    </w:p>
    <w:p>
      <w:pPr>
        <w:pStyle w:val="2"/>
        <w:spacing w:before="240" w:after="360"/>
        <w:textAlignment w:val="center"/>
      </w:pPr>
      <w:bookmarkStart w:id="11" w:name="_Toc448651812"/>
      <w:bookmarkStart w:id="12" w:name="_Toc43819617"/>
      <w:bookmarkStart w:id="13" w:name="_Toc43819472"/>
      <w:r>
        <w:t>4</w:t>
      </w:r>
      <w:bookmarkEnd w:id="11"/>
      <w:r>
        <w:t>绝缘电阻检测</w:t>
      </w:r>
      <w:bookmarkEnd w:id="12"/>
      <w:bookmarkEnd w:id="13"/>
    </w:p>
    <w:p>
      <w:pPr>
        <w:pStyle w:val="3"/>
        <w:spacing w:before="480" w:after="120"/>
      </w:pPr>
      <w:bookmarkStart w:id="14" w:name="_Toc43819473"/>
      <w:bookmarkStart w:id="15" w:name="_Toc43819618"/>
      <w:r>
        <w:t>4.1</w:t>
      </w:r>
      <w:r>
        <w:rPr>
          <w:rFonts w:hint="eastAsia"/>
        </w:rPr>
        <w:t>检测仪器</w:t>
      </w:r>
      <w:bookmarkEnd w:id="14"/>
      <w:bookmarkEnd w:id="15"/>
    </w:p>
    <w:p>
      <w:pPr>
        <w:spacing w:line="440" w:lineRule="exact"/>
        <w:jc w:val="left"/>
        <w:rPr>
          <w:sz w:val="24"/>
          <w:szCs w:val="24"/>
        </w:rPr>
      </w:pPr>
      <w:r>
        <w:rPr>
          <w:b/>
          <w:sz w:val="24"/>
          <w:szCs w:val="24"/>
        </w:rPr>
        <w:t>4.1.1</w:t>
      </w:r>
      <w:r>
        <w:rPr>
          <w:rFonts w:hint="eastAsia"/>
          <w:b/>
          <w:sz w:val="24"/>
          <w:szCs w:val="24"/>
        </w:rPr>
        <w:t xml:space="preserve">  </w:t>
      </w:r>
      <w:r>
        <w:rPr>
          <w:sz w:val="24"/>
          <w:szCs w:val="24"/>
        </w:rPr>
        <w:t>绝缘电阻测试仪的准确度等级</w:t>
      </w:r>
      <w:r>
        <w:rPr>
          <w:rFonts w:hint="eastAsia"/>
          <w:sz w:val="24"/>
          <w:szCs w:val="24"/>
        </w:rPr>
        <w:t>不低于5.0</w:t>
      </w:r>
      <w:r>
        <w:rPr>
          <w:sz w:val="24"/>
          <w:szCs w:val="24"/>
        </w:rPr>
        <w:t>级</w:t>
      </w:r>
      <w:r>
        <w:rPr>
          <w:rFonts w:hint="eastAsia"/>
          <w:sz w:val="24"/>
          <w:szCs w:val="24"/>
        </w:rPr>
        <w:t>，高准确度区段基本误差极限值不高于±5%；低准确度区段基本误差极限值不高于±10%。</w:t>
      </w:r>
    </w:p>
    <w:p>
      <w:pPr>
        <w:tabs>
          <w:tab w:val="left" w:pos="7938"/>
        </w:tabs>
        <w:spacing w:line="440" w:lineRule="exact"/>
        <w:jc w:val="left"/>
        <w:rPr>
          <w:sz w:val="24"/>
          <w:szCs w:val="24"/>
        </w:rPr>
      </w:pPr>
      <w:r>
        <w:rPr>
          <w:rFonts w:hint="eastAsia"/>
          <w:b/>
          <w:sz w:val="24"/>
          <w:szCs w:val="24"/>
        </w:rPr>
        <w:t>4.1.2</w:t>
      </w:r>
      <w:r>
        <w:rPr>
          <w:sz w:val="24"/>
          <w:szCs w:val="24"/>
        </w:rPr>
        <w:t xml:space="preserve"> </w:t>
      </w:r>
      <w:r>
        <w:rPr>
          <w:rFonts w:hint="eastAsia"/>
          <w:sz w:val="24"/>
          <w:szCs w:val="24"/>
        </w:rPr>
        <w:t xml:space="preserve"> </w:t>
      </w:r>
      <w:r>
        <w:rPr>
          <w:sz w:val="24"/>
          <w:szCs w:val="24"/>
        </w:rPr>
        <w:t>绝缘电阻检测时测试仪所采用的电压等级应按照下列规定执行</w:t>
      </w:r>
      <w:r>
        <w:rPr>
          <w:rFonts w:hint="eastAsia"/>
          <w:sz w:val="24"/>
          <w:szCs w:val="24"/>
        </w:rPr>
        <w:t>：</w:t>
      </w:r>
      <w:r>
        <w:rPr>
          <w:sz w:val="24"/>
          <w:szCs w:val="24"/>
        </w:rPr>
        <w:tab/>
      </w:r>
    </w:p>
    <w:p>
      <w:pPr>
        <w:tabs>
          <w:tab w:val="left" w:pos="709"/>
          <w:tab w:val="left" w:pos="851"/>
        </w:tabs>
        <w:spacing w:line="440" w:lineRule="exact"/>
        <w:ind w:firstLine="360"/>
        <w:jc w:val="left"/>
        <w:rPr>
          <w:sz w:val="24"/>
          <w:szCs w:val="24"/>
        </w:rPr>
      </w:pPr>
      <w:r>
        <w:rPr>
          <w:sz w:val="24"/>
          <w:szCs w:val="24"/>
        </w:rPr>
        <w:t>1</w:t>
      </w:r>
      <w:r>
        <w:rPr>
          <w:rFonts w:hint="eastAsia"/>
          <w:sz w:val="24"/>
          <w:szCs w:val="24"/>
        </w:rPr>
        <w:t xml:space="preserve">  测量额定电压在5</w:t>
      </w:r>
      <w:r>
        <w:rPr>
          <w:sz w:val="24"/>
          <w:szCs w:val="24"/>
        </w:rPr>
        <w:t>00V 以下的</w:t>
      </w:r>
      <w:r>
        <w:rPr>
          <w:rFonts w:hint="eastAsia"/>
          <w:sz w:val="24"/>
          <w:szCs w:val="24"/>
        </w:rPr>
        <w:t>电气装置或线路的绝缘电阻时</w:t>
      </w:r>
      <w:r>
        <w:rPr>
          <w:sz w:val="24"/>
          <w:szCs w:val="24"/>
        </w:rPr>
        <w:t>，</w:t>
      </w:r>
      <w:r>
        <w:rPr>
          <w:rFonts w:hint="eastAsia"/>
          <w:sz w:val="24"/>
          <w:szCs w:val="24"/>
        </w:rPr>
        <w:t>可选用500V或1000V电压等级</w:t>
      </w:r>
      <w:r>
        <w:rPr>
          <w:sz w:val="24"/>
          <w:szCs w:val="24"/>
        </w:rPr>
        <w:t>；</w:t>
      </w:r>
    </w:p>
    <w:p>
      <w:pPr>
        <w:spacing w:line="440" w:lineRule="exact"/>
        <w:ind w:firstLine="360"/>
        <w:jc w:val="left"/>
        <w:rPr>
          <w:sz w:val="24"/>
          <w:szCs w:val="24"/>
        </w:rPr>
      </w:pPr>
      <w:r>
        <w:rPr>
          <w:sz w:val="24"/>
          <w:szCs w:val="24"/>
        </w:rPr>
        <w:t>2</w:t>
      </w:r>
      <w:r>
        <w:rPr>
          <w:rFonts w:hint="eastAsia"/>
          <w:sz w:val="24"/>
          <w:szCs w:val="24"/>
        </w:rPr>
        <w:t xml:space="preserve">  测量额定电压在5</w:t>
      </w:r>
      <w:r>
        <w:rPr>
          <w:sz w:val="24"/>
          <w:szCs w:val="24"/>
        </w:rPr>
        <w:t>00V 以</w:t>
      </w:r>
      <w:r>
        <w:rPr>
          <w:rFonts w:hint="eastAsia"/>
          <w:sz w:val="24"/>
          <w:szCs w:val="24"/>
        </w:rPr>
        <w:t>上</w:t>
      </w:r>
      <w:r>
        <w:rPr>
          <w:sz w:val="24"/>
          <w:szCs w:val="24"/>
        </w:rPr>
        <w:t>的</w:t>
      </w:r>
      <w:r>
        <w:rPr>
          <w:rFonts w:hint="eastAsia"/>
          <w:sz w:val="24"/>
          <w:szCs w:val="24"/>
        </w:rPr>
        <w:t>电气装置或线路的绝缘电阻时</w:t>
      </w:r>
      <w:r>
        <w:rPr>
          <w:sz w:val="24"/>
          <w:szCs w:val="24"/>
        </w:rPr>
        <w:t>，</w:t>
      </w:r>
      <w:r>
        <w:rPr>
          <w:rFonts w:hint="eastAsia"/>
          <w:sz w:val="24"/>
          <w:szCs w:val="24"/>
        </w:rPr>
        <w:t>可选用1000V～2500V电压等级</w:t>
      </w:r>
      <w:r>
        <w:rPr>
          <w:sz w:val="24"/>
          <w:szCs w:val="24"/>
        </w:rPr>
        <w:t>；</w:t>
      </w:r>
    </w:p>
    <w:p>
      <w:pPr>
        <w:pStyle w:val="3"/>
        <w:spacing w:before="480" w:after="120"/>
      </w:pPr>
      <w:bookmarkStart w:id="16" w:name="_Toc43819619"/>
      <w:bookmarkStart w:id="17" w:name="_Toc43819474"/>
      <w:r>
        <w:t>4.2</w:t>
      </w:r>
      <w:r>
        <w:rPr>
          <w:rFonts w:hint="eastAsia"/>
        </w:rPr>
        <w:t>检测数量</w:t>
      </w:r>
      <w:bookmarkEnd w:id="16"/>
      <w:bookmarkEnd w:id="17"/>
    </w:p>
    <w:p>
      <w:pPr>
        <w:spacing w:line="440" w:lineRule="exact"/>
        <w:jc w:val="left"/>
        <w:rPr>
          <w:sz w:val="24"/>
          <w:szCs w:val="24"/>
        </w:rPr>
      </w:pPr>
      <w:r>
        <w:rPr>
          <w:b/>
          <w:sz w:val="24"/>
          <w:szCs w:val="24"/>
        </w:rPr>
        <w:t>4.2.1</w:t>
      </w:r>
      <w:r>
        <w:rPr>
          <w:sz w:val="24"/>
          <w:szCs w:val="24"/>
        </w:rPr>
        <w:t xml:space="preserve">  </w:t>
      </w:r>
      <w:r>
        <w:rPr>
          <w:rFonts w:hint="eastAsia"/>
          <w:sz w:val="24"/>
          <w:szCs w:val="24"/>
        </w:rPr>
        <w:t>单位工程总配电箱（柜）内，系统回路应全数检测。</w:t>
      </w:r>
    </w:p>
    <w:p>
      <w:pPr>
        <w:spacing w:line="440" w:lineRule="exact"/>
        <w:jc w:val="left"/>
        <w:rPr>
          <w:sz w:val="24"/>
          <w:szCs w:val="24"/>
        </w:rPr>
      </w:pPr>
      <w:r>
        <w:rPr>
          <w:b/>
          <w:sz w:val="24"/>
          <w:szCs w:val="24"/>
        </w:rPr>
        <w:t>4.2.2</w:t>
      </w:r>
      <w:r>
        <w:rPr>
          <w:sz w:val="24"/>
          <w:szCs w:val="24"/>
        </w:rPr>
        <w:t xml:space="preserve">  </w:t>
      </w:r>
      <w:r>
        <w:rPr>
          <w:rFonts w:hint="eastAsia"/>
          <w:sz w:val="24"/>
          <w:szCs w:val="24"/>
        </w:rPr>
        <w:t>建筑物的楼层配电箱，抽检比例不宜少于</w:t>
      </w:r>
      <w:r>
        <w:rPr>
          <w:sz w:val="24"/>
          <w:szCs w:val="24"/>
        </w:rPr>
        <w:t>20%</w:t>
      </w:r>
      <w:r>
        <w:rPr>
          <w:rFonts w:hint="eastAsia"/>
          <w:sz w:val="24"/>
          <w:szCs w:val="24"/>
        </w:rPr>
        <w:t>且不少于</w:t>
      </w:r>
      <w:r>
        <w:rPr>
          <w:sz w:val="24"/>
          <w:szCs w:val="24"/>
        </w:rPr>
        <w:t>3</w:t>
      </w:r>
      <w:r>
        <w:rPr>
          <w:rFonts w:hint="eastAsia"/>
          <w:sz w:val="24"/>
          <w:szCs w:val="24"/>
        </w:rPr>
        <w:t>只，当总数少于</w:t>
      </w:r>
      <w:r>
        <w:rPr>
          <w:sz w:val="24"/>
          <w:szCs w:val="24"/>
        </w:rPr>
        <w:t>3</w:t>
      </w:r>
      <w:r>
        <w:rPr>
          <w:rFonts w:hint="eastAsia"/>
          <w:sz w:val="24"/>
          <w:szCs w:val="24"/>
        </w:rPr>
        <w:t>只时应全数检测。</w:t>
      </w:r>
    </w:p>
    <w:p>
      <w:pPr>
        <w:tabs>
          <w:tab w:val="left" w:pos="709"/>
        </w:tabs>
        <w:spacing w:line="440" w:lineRule="exact"/>
        <w:jc w:val="left"/>
        <w:rPr>
          <w:sz w:val="24"/>
          <w:szCs w:val="24"/>
        </w:rPr>
      </w:pPr>
      <w:r>
        <w:rPr>
          <w:b/>
          <w:sz w:val="24"/>
          <w:szCs w:val="24"/>
        </w:rPr>
        <w:t>4.2.3</w:t>
      </w:r>
      <w:r>
        <w:rPr>
          <w:sz w:val="24"/>
          <w:szCs w:val="24"/>
        </w:rPr>
        <w:t xml:space="preserve">  </w:t>
      </w:r>
      <w:r>
        <w:rPr>
          <w:rFonts w:hint="eastAsia"/>
          <w:sz w:val="24"/>
          <w:szCs w:val="24"/>
        </w:rPr>
        <w:t>除总配电箱、楼层配电箱以外的配电箱，抽检比例不宜少于</w:t>
      </w:r>
      <w:r>
        <w:rPr>
          <w:sz w:val="24"/>
          <w:szCs w:val="24"/>
        </w:rPr>
        <w:t>10%</w:t>
      </w:r>
      <w:r>
        <w:rPr>
          <w:rFonts w:hint="eastAsia"/>
          <w:sz w:val="24"/>
          <w:szCs w:val="24"/>
        </w:rPr>
        <w:t>且不少于</w:t>
      </w:r>
      <w:r>
        <w:rPr>
          <w:sz w:val="24"/>
          <w:szCs w:val="24"/>
        </w:rPr>
        <w:t>3</w:t>
      </w:r>
      <w:r>
        <w:rPr>
          <w:rFonts w:hint="eastAsia"/>
          <w:sz w:val="24"/>
          <w:szCs w:val="24"/>
        </w:rPr>
        <w:t>只；当总数少于</w:t>
      </w:r>
      <w:r>
        <w:rPr>
          <w:sz w:val="24"/>
          <w:szCs w:val="24"/>
        </w:rPr>
        <w:t>3</w:t>
      </w:r>
      <w:r>
        <w:rPr>
          <w:rFonts w:hint="eastAsia"/>
          <w:sz w:val="24"/>
          <w:szCs w:val="24"/>
        </w:rPr>
        <w:t>只时应全数检测。</w:t>
      </w:r>
    </w:p>
    <w:p>
      <w:pPr>
        <w:tabs>
          <w:tab w:val="left" w:pos="709"/>
        </w:tabs>
        <w:spacing w:line="440" w:lineRule="exact"/>
        <w:jc w:val="left"/>
        <w:rPr>
          <w:sz w:val="24"/>
          <w:szCs w:val="24"/>
        </w:rPr>
      </w:pPr>
      <w:r>
        <w:rPr>
          <w:b/>
          <w:sz w:val="24"/>
          <w:szCs w:val="24"/>
        </w:rPr>
        <w:t>4.2.</w:t>
      </w:r>
      <w:r>
        <w:rPr>
          <w:rFonts w:hint="eastAsia"/>
          <w:b/>
          <w:sz w:val="24"/>
          <w:szCs w:val="24"/>
        </w:rPr>
        <w:t>4</w:t>
      </w:r>
      <w:r>
        <w:rPr>
          <w:sz w:val="24"/>
          <w:szCs w:val="24"/>
        </w:rPr>
        <w:t xml:space="preserve">  </w:t>
      </w:r>
      <w:r>
        <w:rPr>
          <w:rFonts w:hint="eastAsia"/>
          <w:sz w:val="24"/>
          <w:szCs w:val="24"/>
        </w:rPr>
        <w:t>检测时应随机抽样，抽样应具有一定的代表性。</w:t>
      </w:r>
    </w:p>
    <w:p>
      <w:pPr>
        <w:pStyle w:val="3"/>
        <w:spacing w:before="480" w:after="120"/>
      </w:pPr>
      <w:bookmarkStart w:id="18" w:name="_Toc43819475"/>
      <w:bookmarkStart w:id="19" w:name="_Toc43819620"/>
      <w:r>
        <w:t>4.</w:t>
      </w:r>
      <w:r>
        <w:rPr>
          <w:rFonts w:hint="eastAsia"/>
        </w:rPr>
        <w:t>3环境条件</w:t>
      </w:r>
      <w:bookmarkEnd w:id="18"/>
      <w:bookmarkEnd w:id="19"/>
    </w:p>
    <w:p>
      <w:pPr>
        <w:spacing w:line="300" w:lineRule="auto"/>
        <w:jc w:val="left"/>
        <w:rPr>
          <w:b/>
          <w:sz w:val="24"/>
          <w:szCs w:val="24"/>
        </w:rPr>
      </w:pPr>
      <w:r>
        <w:rPr>
          <w:b/>
          <w:sz w:val="24"/>
          <w:szCs w:val="24"/>
        </w:rPr>
        <w:t>4.3.1</w:t>
      </w:r>
      <w:r>
        <w:rPr>
          <w:rFonts w:hint="eastAsia"/>
          <w:sz w:val="24"/>
          <w:szCs w:val="24"/>
        </w:rPr>
        <w:t xml:space="preserve">  检测时，环境条件应满足仪器设备使用条件的相关要求。</w:t>
      </w:r>
    </w:p>
    <w:p>
      <w:pPr>
        <w:pStyle w:val="3"/>
        <w:spacing w:before="480" w:after="120"/>
      </w:pPr>
      <w:bookmarkStart w:id="20" w:name="_Toc43819621"/>
      <w:bookmarkStart w:id="21" w:name="_Toc43819476"/>
      <w:r>
        <w:t>4.</w:t>
      </w:r>
      <w:r>
        <w:rPr>
          <w:rFonts w:hint="eastAsia"/>
        </w:rPr>
        <w:t>4检测方法及要求</w:t>
      </w:r>
      <w:bookmarkEnd w:id="20"/>
      <w:bookmarkEnd w:id="21"/>
    </w:p>
    <w:p>
      <w:pPr>
        <w:spacing w:line="440" w:lineRule="exact"/>
        <w:jc w:val="left"/>
        <w:rPr>
          <w:sz w:val="24"/>
          <w:szCs w:val="24"/>
        </w:rPr>
      </w:pPr>
      <w:r>
        <w:rPr>
          <w:b/>
          <w:sz w:val="24"/>
          <w:szCs w:val="24"/>
        </w:rPr>
        <w:t>4.</w:t>
      </w:r>
      <w:r>
        <w:rPr>
          <w:rFonts w:hint="eastAsia"/>
          <w:b/>
          <w:sz w:val="24"/>
          <w:szCs w:val="24"/>
        </w:rPr>
        <w:t>4</w:t>
      </w:r>
      <w:r>
        <w:rPr>
          <w:b/>
          <w:sz w:val="24"/>
          <w:szCs w:val="24"/>
        </w:rPr>
        <w:t xml:space="preserve">.1  </w:t>
      </w:r>
      <w:r>
        <w:rPr>
          <w:rFonts w:hint="eastAsia"/>
          <w:sz w:val="24"/>
          <w:szCs w:val="24"/>
        </w:rPr>
        <w:t>绝缘电阻测试仪使用时应放在平稳、牢固的地方，且远离大的外电流导体和外磁场。</w:t>
      </w:r>
    </w:p>
    <w:p>
      <w:pPr>
        <w:spacing w:line="440" w:lineRule="exact"/>
        <w:jc w:val="left"/>
        <w:rPr>
          <w:sz w:val="24"/>
          <w:szCs w:val="24"/>
        </w:rPr>
      </w:pPr>
      <w:r>
        <w:rPr>
          <w:rFonts w:hint="eastAsia"/>
          <w:b/>
          <w:sz w:val="24"/>
          <w:szCs w:val="24"/>
        </w:rPr>
        <w:t xml:space="preserve">4.4.2  </w:t>
      </w:r>
      <w:r>
        <w:rPr>
          <w:rFonts w:hint="eastAsia"/>
          <w:sz w:val="24"/>
          <w:szCs w:val="24"/>
        </w:rPr>
        <w:t>被测物表面要清洁，减少接触电阻，确保测量结果的正确性。</w:t>
      </w:r>
    </w:p>
    <w:p>
      <w:pPr>
        <w:spacing w:line="440" w:lineRule="exact"/>
        <w:jc w:val="left"/>
        <w:rPr>
          <w:sz w:val="24"/>
          <w:szCs w:val="24"/>
        </w:rPr>
      </w:pPr>
      <w:r>
        <w:rPr>
          <w:rFonts w:hint="eastAsia"/>
          <w:b/>
          <w:sz w:val="24"/>
          <w:szCs w:val="24"/>
        </w:rPr>
        <w:t>4.4.3</w:t>
      </w:r>
      <w:r>
        <w:rPr>
          <w:rFonts w:hint="eastAsia"/>
          <w:sz w:val="24"/>
          <w:szCs w:val="24"/>
        </w:rPr>
        <w:t xml:space="preserve">  检测前宜对仪器进行自检，绝缘电阻测试仪测量端开路输出电压与额定输出电压之差不应大于额定电压的10%，开路输出电压的不稳定值应不大于额定输出电压的5%。</w:t>
      </w:r>
    </w:p>
    <w:p>
      <w:pPr>
        <w:spacing w:line="440" w:lineRule="exact"/>
        <w:jc w:val="left"/>
        <w:rPr>
          <w:sz w:val="24"/>
          <w:szCs w:val="24"/>
        </w:rPr>
      </w:pPr>
      <w:r>
        <w:rPr>
          <w:rFonts w:hint="eastAsia"/>
          <w:b/>
          <w:sz w:val="24"/>
          <w:szCs w:val="24"/>
        </w:rPr>
        <w:t>4.4.4</w:t>
      </w:r>
      <w:r>
        <w:rPr>
          <w:rFonts w:hint="eastAsia"/>
          <w:sz w:val="24"/>
          <w:szCs w:val="24"/>
        </w:rPr>
        <w:t xml:space="preserve">  检测总配电箱（柜）时，可将馈电线路系统中的开关、低压断路器闭合，且应将楼层配电箱（柜）及用电设备、电器和仪表等负载断开；检测楼层配电箱（柜）时，应将末端配电箱（柜）及用电设备、电器和仪表等负载断开；检测末端配电箱（柜）时，电路系统中的电器、灯具、仪表等用电设备应与电路系统断开。</w:t>
      </w:r>
    </w:p>
    <w:p>
      <w:pPr>
        <w:spacing w:line="440" w:lineRule="exact"/>
        <w:jc w:val="left"/>
        <w:rPr>
          <w:sz w:val="24"/>
          <w:szCs w:val="24"/>
        </w:rPr>
      </w:pPr>
      <w:r>
        <w:rPr>
          <w:rFonts w:hint="eastAsia"/>
          <w:b/>
          <w:sz w:val="24"/>
          <w:szCs w:val="24"/>
        </w:rPr>
        <w:t>4.4.5</w:t>
      </w:r>
      <w:r>
        <w:rPr>
          <w:rFonts w:hint="eastAsia"/>
          <w:sz w:val="24"/>
          <w:szCs w:val="24"/>
        </w:rPr>
        <w:t xml:space="preserve">  检测时，</w:t>
      </w:r>
      <w:r>
        <w:rPr>
          <w:sz w:val="24"/>
          <w:szCs w:val="24"/>
        </w:rPr>
        <w:t>根据从左向右、从上向下的顺序用仪表探针分别</w:t>
      </w:r>
      <w:r>
        <w:rPr>
          <w:rFonts w:hint="eastAsia"/>
          <w:sz w:val="24"/>
          <w:szCs w:val="24"/>
        </w:rPr>
        <w:t>测试</w:t>
      </w:r>
      <w:r>
        <w:rPr>
          <w:sz w:val="24"/>
          <w:szCs w:val="24"/>
        </w:rPr>
        <w:t>各</w:t>
      </w:r>
      <w:r>
        <w:rPr>
          <w:rFonts w:hint="eastAsia"/>
          <w:sz w:val="24"/>
          <w:szCs w:val="24"/>
        </w:rPr>
        <w:t>条</w:t>
      </w:r>
      <w:r>
        <w:rPr>
          <w:sz w:val="24"/>
          <w:szCs w:val="24"/>
        </w:rPr>
        <w:t>线</w:t>
      </w:r>
      <w:r>
        <w:rPr>
          <w:rFonts w:hint="eastAsia"/>
          <w:sz w:val="24"/>
          <w:szCs w:val="24"/>
        </w:rPr>
        <w:t>间的绝缘电阻值</w:t>
      </w:r>
      <w:r>
        <w:rPr>
          <w:sz w:val="24"/>
          <w:szCs w:val="24"/>
        </w:rPr>
        <w:t>。如果是单相回路，则测量相零（L-N）、相地（L-E）、零地（N-E）；如果是三相回路，则测试 A、B、C、N、PE 所有</w:t>
      </w:r>
      <w:r>
        <w:rPr>
          <w:rFonts w:hint="eastAsia"/>
          <w:sz w:val="24"/>
          <w:szCs w:val="24"/>
        </w:rPr>
        <w:t>线路间的绝缘</w:t>
      </w:r>
      <w:r>
        <w:rPr>
          <w:sz w:val="24"/>
          <w:szCs w:val="24"/>
        </w:rPr>
        <w:t>。</w:t>
      </w:r>
    </w:p>
    <w:p>
      <w:pPr>
        <w:spacing w:line="440" w:lineRule="exact"/>
        <w:jc w:val="left"/>
        <w:rPr>
          <w:sz w:val="24"/>
          <w:szCs w:val="24"/>
        </w:rPr>
      </w:pPr>
      <w:r>
        <w:rPr>
          <w:rFonts w:hint="eastAsia"/>
          <w:b/>
          <w:sz w:val="24"/>
          <w:szCs w:val="24"/>
        </w:rPr>
        <w:t>4.4.6</w:t>
      </w:r>
      <w:r>
        <w:rPr>
          <w:rFonts w:hint="eastAsia"/>
          <w:sz w:val="24"/>
          <w:szCs w:val="24"/>
        </w:rPr>
        <w:t xml:space="preserve">  检测时，仪表探针应分别紧密接触各检测线路，测试充电时间应足够充分，测量数值稳定后再读数并记录。</w:t>
      </w:r>
    </w:p>
    <w:p>
      <w:pPr>
        <w:spacing w:line="440" w:lineRule="exact"/>
        <w:jc w:val="left"/>
        <w:rPr>
          <w:sz w:val="24"/>
          <w:szCs w:val="24"/>
        </w:rPr>
      </w:pPr>
      <w:r>
        <w:rPr>
          <w:b/>
          <w:sz w:val="24"/>
          <w:szCs w:val="24"/>
        </w:rPr>
        <w:t>4.4.7</w:t>
      </w:r>
      <w:r>
        <w:rPr>
          <w:rFonts w:hint="eastAsia"/>
          <w:sz w:val="24"/>
          <w:szCs w:val="24"/>
        </w:rPr>
        <w:t xml:space="preserve">  检测时，可按本规程附录A填写检测结果。</w:t>
      </w:r>
    </w:p>
    <w:p>
      <w:pPr>
        <w:pStyle w:val="3"/>
        <w:spacing w:before="480" w:after="120"/>
      </w:pPr>
      <w:bookmarkStart w:id="22" w:name="_Toc43819477"/>
      <w:bookmarkStart w:id="23" w:name="_Toc43819622"/>
      <w:r>
        <w:t>4.</w:t>
      </w:r>
      <w:r>
        <w:rPr>
          <w:rFonts w:hint="eastAsia"/>
        </w:rPr>
        <w:t>5</w:t>
      </w:r>
      <w:r>
        <w:t>结果判定</w:t>
      </w:r>
      <w:bookmarkEnd w:id="22"/>
      <w:bookmarkEnd w:id="23"/>
    </w:p>
    <w:p>
      <w:pPr>
        <w:pStyle w:val="12"/>
        <w:tabs>
          <w:tab w:val="left" w:pos="709"/>
          <w:tab w:val="left" w:pos="1050"/>
        </w:tabs>
        <w:adjustRightInd w:val="0"/>
        <w:snapToGrid w:val="0"/>
        <w:spacing w:line="440" w:lineRule="atLeast"/>
        <w:jc w:val="left"/>
        <w:rPr>
          <w:rFonts w:eastAsia="宋体"/>
          <w:b w:val="0"/>
          <w:sz w:val="24"/>
          <w:szCs w:val="24"/>
        </w:rPr>
      </w:pPr>
      <w:r>
        <w:rPr>
          <w:rFonts w:eastAsia="宋体"/>
          <w:sz w:val="24"/>
          <w:szCs w:val="24"/>
        </w:rPr>
        <w:t>4.</w:t>
      </w:r>
      <w:r>
        <w:rPr>
          <w:rFonts w:hint="eastAsia" w:eastAsia="宋体"/>
          <w:sz w:val="24"/>
          <w:szCs w:val="24"/>
        </w:rPr>
        <w:t>5</w:t>
      </w:r>
      <w:r>
        <w:rPr>
          <w:rFonts w:eastAsia="宋体"/>
          <w:sz w:val="24"/>
          <w:szCs w:val="24"/>
        </w:rPr>
        <w:t>.1</w:t>
      </w:r>
      <w:r>
        <w:rPr>
          <w:rFonts w:hint="eastAsia" w:eastAsia="宋体"/>
          <w:b w:val="0"/>
          <w:sz w:val="24"/>
          <w:szCs w:val="24"/>
        </w:rPr>
        <w:t xml:space="preserve">  对于低压电气装置的交接试验，常温下配电线路的绝缘电阻不应低于0.5MΩ，对于运行中的设备和线路，绝缘电阻不应低于1MΩ。低压电器及其连接电缆和二次回路的绝缘电阻一般不应低于1MΩ，在比较潮湿的环境不应低于0.5MΩ，二次回路小母线的绝缘电阻不应低于10MΩ。</w:t>
      </w:r>
    </w:p>
    <w:p>
      <w:pPr>
        <w:pStyle w:val="12"/>
        <w:tabs>
          <w:tab w:val="left" w:pos="1050"/>
        </w:tabs>
        <w:adjustRightInd w:val="0"/>
        <w:snapToGrid w:val="0"/>
        <w:spacing w:line="440" w:lineRule="atLeast"/>
        <w:jc w:val="left"/>
        <w:rPr>
          <w:rFonts w:eastAsia="宋体"/>
          <w:b w:val="0"/>
          <w:sz w:val="24"/>
          <w:szCs w:val="24"/>
        </w:rPr>
      </w:pPr>
      <w:r>
        <w:rPr>
          <w:rFonts w:hint="eastAsia" w:eastAsia="宋体"/>
          <w:sz w:val="24"/>
          <w:szCs w:val="24"/>
        </w:rPr>
        <w:t>4.5.2</w:t>
      </w:r>
      <w:r>
        <w:rPr>
          <w:rFonts w:hint="eastAsia" w:eastAsia="宋体"/>
          <w:b w:val="0"/>
          <w:sz w:val="24"/>
          <w:szCs w:val="24"/>
        </w:rPr>
        <w:t xml:space="preserve">  当检测结果中任一回路绝缘电阻值不符合要求时，判定为不合格。</w:t>
      </w:r>
    </w:p>
    <w:p>
      <w:pPr>
        <w:pStyle w:val="12"/>
        <w:tabs>
          <w:tab w:val="left" w:pos="1050"/>
        </w:tabs>
        <w:adjustRightInd w:val="0"/>
        <w:snapToGrid w:val="0"/>
        <w:spacing w:line="440" w:lineRule="atLeast"/>
        <w:jc w:val="left"/>
        <w:rPr>
          <w:rFonts w:eastAsia="宋体"/>
          <w:b w:val="0"/>
          <w:sz w:val="24"/>
          <w:szCs w:val="24"/>
        </w:rPr>
      </w:pPr>
      <w:r>
        <w:rPr>
          <w:rFonts w:hint="eastAsia" w:eastAsia="宋体"/>
          <w:sz w:val="24"/>
          <w:szCs w:val="24"/>
        </w:rPr>
        <w:t>4.5.3</w:t>
      </w:r>
      <w:r>
        <w:rPr>
          <w:rFonts w:hint="eastAsia" w:eastAsia="宋体"/>
          <w:b w:val="0"/>
          <w:sz w:val="24"/>
          <w:szCs w:val="24"/>
        </w:rPr>
        <w:t xml:space="preserve">  对于检测结果有不合格的工程，应查明原因进行整改，整改完成后按抽检数量两倍的工作量重新进行检测，直至所测项目全部合格为止。</w:t>
      </w:r>
    </w:p>
    <w:p>
      <w:pPr>
        <w:pStyle w:val="2"/>
        <w:spacing w:before="240" w:after="360"/>
      </w:pPr>
      <w:bookmarkStart w:id="24" w:name="_Toc448651823"/>
      <w:r>
        <w:br w:type="page"/>
      </w:r>
      <w:bookmarkStart w:id="25" w:name="_Toc43819478"/>
      <w:bookmarkStart w:id="26" w:name="_Toc43819623"/>
      <w:r>
        <w:t>5接地电阻检测</w:t>
      </w:r>
      <w:bookmarkEnd w:id="24"/>
      <w:bookmarkEnd w:id="25"/>
      <w:bookmarkEnd w:id="26"/>
    </w:p>
    <w:p>
      <w:pPr>
        <w:pStyle w:val="3"/>
        <w:spacing w:before="480" w:after="120"/>
      </w:pPr>
      <w:bookmarkStart w:id="27" w:name="_Toc437343795"/>
      <w:bookmarkStart w:id="28" w:name="_Toc43819624"/>
      <w:bookmarkStart w:id="29" w:name="_Toc43819479"/>
      <w:r>
        <w:t>5.1</w:t>
      </w:r>
      <w:bookmarkEnd w:id="27"/>
      <w:r>
        <w:rPr>
          <w:rFonts w:hint="eastAsia"/>
        </w:rPr>
        <w:t xml:space="preserve">  检测仪器</w:t>
      </w:r>
      <w:bookmarkEnd w:id="28"/>
      <w:bookmarkEnd w:id="29"/>
    </w:p>
    <w:p>
      <w:pPr>
        <w:pStyle w:val="12"/>
        <w:tabs>
          <w:tab w:val="left" w:pos="630"/>
        </w:tabs>
        <w:adjustRightInd w:val="0"/>
        <w:snapToGrid w:val="0"/>
        <w:spacing w:line="440" w:lineRule="atLeast"/>
        <w:rPr>
          <w:rFonts w:eastAsia="宋体"/>
          <w:b w:val="0"/>
          <w:sz w:val="24"/>
          <w:szCs w:val="24"/>
        </w:rPr>
      </w:pPr>
      <w:r>
        <w:rPr>
          <w:rFonts w:eastAsia="宋体"/>
          <w:sz w:val="24"/>
          <w:szCs w:val="24"/>
        </w:rPr>
        <w:t>5.1.1</w:t>
      </w:r>
      <w:r>
        <w:rPr>
          <w:rFonts w:eastAsia="宋体"/>
          <w:b w:val="0"/>
          <w:sz w:val="24"/>
          <w:szCs w:val="24"/>
        </w:rPr>
        <w:t xml:space="preserve">  接地电阻测试仪：准确度等级不低于 5</w:t>
      </w:r>
      <w:r>
        <w:rPr>
          <w:rFonts w:hint="eastAsia" w:eastAsia="宋体"/>
          <w:b w:val="0"/>
          <w:sz w:val="24"/>
          <w:szCs w:val="24"/>
        </w:rPr>
        <w:t>.0</w:t>
      </w:r>
      <w:r>
        <w:rPr>
          <w:rFonts w:eastAsia="宋体"/>
          <w:b w:val="0"/>
          <w:sz w:val="24"/>
          <w:szCs w:val="24"/>
        </w:rPr>
        <w:t xml:space="preserve"> 级</w:t>
      </w:r>
      <w:r>
        <w:rPr>
          <w:rFonts w:hint="eastAsia" w:eastAsia="宋体"/>
          <w:b w:val="0"/>
          <w:sz w:val="24"/>
          <w:szCs w:val="24"/>
        </w:rPr>
        <w:t>。</w:t>
      </w:r>
    </w:p>
    <w:p>
      <w:pPr>
        <w:pStyle w:val="12"/>
        <w:tabs>
          <w:tab w:val="left" w:pos="630"/>
        </w:tabs>
        <w:adjustRightInd w:val="0"/>
        <w:snapToGrid w:val="0"/>
        <w:spacing w:line="440" w:lineRule="atLeast"/>
        <w:rPr>
          <w:rFonts w:eastAsia="宋体"/>
          <w:b w:val="0"/>
          <w:sz w:val="24"/>
          <w:szCs w:val="24"/>
        </w:rPr>
      </w:pPr>
      <w:r>
        <w:rPr>
          <w:sz w:val="24"/>
          <w:szCs w:val="24"/>
        </w:rPr>
        <w:t>5.1.</w:t>
      </w:r>
      <w:r>
        <w:rPr>
          <w:rFonts w:hint="eastAsia"/>
          <w:sz w:val="24"/>
          <w:szCs w:val="24"/>
        </w:rPr>
        <w:t xml:space="preserve">2  </w:t>
      </w:r>
      <w:r>
        <w:rPr>
          <w:rFonts w:hint="eastAsia" w:eastAsia="宋体"/>
          <w:b w:val="0"/>
          <w:sz w:val="24"/>
          <w:szCs w:val="24"/>
        </w:rPr>
        <w:t>接地电阻测试仪可采用手摇式电阻表，或采用数字式接地电阻测试仪。</w:t>
      </w:r>
    </w:p>
    <w:p>
      <w:pPr>
        <w:pStyle w:val="12"/>
        <w:tabs>
          <w:tab w:val="left" w:pos="630"/>
          <w:tab w:val="left" w:pos="851"/>
        </w:tabs>
        <w:adjustRightInd w:val="0"/>
        <w:snapToGrid w:val="0"/>
        <w:spacing w:line="440" w:lineRule="atLeast"/>
        <w:rPr>
          <w:rFonts w:ascii="宋体"/>
          <w:szCs w:val="21"/>
          <w:highlight w:val="yellow"/>
        </w:rPr>
      </w:pPr>
      <w:r>
        <w:rPr>
          <w:sz w:val="24"/>
          <w:szCs w:val="24"/>
        </w:rPr>
        <w:t>5.1.</w:t>
      </w:r>
      <w:r>
        <w:rPr>
          <w:rFonts w:hint="eastAsia"/>
          <w:sz w:val="24"/>
          <w:szCs w:val="24"/>
        </w:rPr>
        <w:t>3</w:t>
      </w:r>
      <w:r>
        <w:rPr>
          <w:rFonts w:hint="eastAsia" w:eastAsia="宋体"/>
          <w:b w:val="0"/>
          <w:sz w:val="24"/>
          <w:szCs w:val="24"/>
        </w:rPr>
        <w:t xml:space="preserve">  </w:t>
      </w:r>
      <w:r>
        <w:rPr>
          <w:rFonts w:hint="eastAsia" w:eastAsia="宋体"/>
          <w:b w:val="0"/>
          <w:spacing w:val="20"/>
          <w:sz w:val="24"/>
          <w:szCs w:val="24"/>
        </w:rPr>
        <w:t>接地电阻测试仪的量程应能覆盖0 MΩ～20 MΩ，该范围内精确度为</w:t>
      </w:r>
      <w:r>
        <w:rPr>
          <w:rFonts w:hint="eastAsia" w:eastAsia="宋体"/>
          <w:b w:val="0"/>
          <w:sz w:val="24"/>
          <w:szCs w:val="24"/>
        </w:rPr>
        <w:t>（±</w:t>
      </w:r>
      <w:r>
        <w:rPr>
          <w:rFonts w:eastAsia="宋体"/>
          <w:b w:val="0"/>
          <w:sz w:val="24"/>
          <w:szCs w:val="24"/>
        </w:rPr>
        <w:t>2%rdg±0.1</w:t>
      </w:r>
      <w:r>
        <w:rPr>
          <w:rFonts w:hint="eastAsia" w:eastAsia="宋体"/>
          <w:b w:val="0"/>
          <w:sz w:val="24"/>
          <w:szCs w:val="24"/>
        </w:rPr>
        <w:t>）Ω，分辨率为0.01Ω</w:t>
      </w:r>
      <w:r>
        <w:rPr>
          <w:rFonts w:eastAsia="宋体"/>
          <w:b w:val="0"/>
          <w:sz w:val="24"/>
          <w:szCs w:val="24"/>
        </w:rPr>
        <w:t>。</w:t>
      </w:r>
    </w:p>
    <w:p>
      <w:pPr>
        <w:pStyle w:val="3"/>
        <w:spacing w:before="480" w:after="120"/>
      </w:pPr>
      <w:bookmarkStart w:id="30" w:name="_Toc437343796"/>
      <w:bookmarkStart w:id="31" w:name="_Toc43819625"/>
      <w:bookmarkStart w:id="32" w:name="_Toc43819480"/>
      <w:r>
        <w:t xml:space="preserve">5.2  </w:t>
      </w:r>
      <w:bookmarkEnd w:id="30"/>
      <w:r>
        <w:t>抽检数量</w:t>
      </w:r>
      <w:bookmarkEnd w:id="31"/>
      <w:bookmarkEnd w:id="32"/>
    </w:p>
    <w:p>
      <w:pPr>
        <w:pStyle w:val="12"/>
        <w:tabs>
          <w:tab w:val="left" w:pos="630"/>
        </w:tabs>
        <w:adjustRightInd w:val="0"/>
        <w:snapToGrid w:val="0"/>
        <w:spacing w:line="440" w:lineRule="atLeast"/>
        <w:rPr>
          <w:rFonts w:eastAsia="宋体"/>
          <w:b w:val="0"/>
          <w:sz w:val="24"/>
          <w:szCs w:val="24"/>
        </w:rPr>
      </w:pPr>
      <w:r>
        <w:rPr>
          <w:rFonts w:eastAsia="宋体"/>
          <w:sz w:val="24"/>
          <w:szCs w:val="24"/>
        </w:rPr>
        <w:t>5.2.1</w:t>
      </w:r>
      <w:r>
        <w:rPr>
          <w:rFonts w:hint="eastAsia" w:eastAsia="宋体"/>
          <w:b w:val="0"/>
          <w:sz w:val="24"/>
          <w:szCs w:val="24"/>
        </w:rPr>
        <w:t xml:space="preserve">  总配电箱接地端、防雷接地测试点接地端接地电阻均应全数检测。</w:t>
      </w:r>
    </w:p>
    <w:p>
      <w:pPr>
        <w:pStyle w:val="12"/>
        <w:tabs>
          <w:tab w:val="left" w:pos="630"/>
        </w:tabs>
        <w:adjustRightInd w:val="0"/>
        <w:snapToGrid w:val="0"/>
        <w:spacing w:line="440" w:lineRule="atLeast"/>
        <w:rPr>
          <w:rFonts w:eastAsia="宋体"/>
          <w:b w:val="0"/>
          <w:sz w:val="24"/>
          <w:szCs w:val="24"/>
        </w:rPr>
      </w:pPr>
      <w:r>
        <w:rPr>
          <w:rFonts w:hint="eastAsia"/>
          <w:sz w:val="24"/>
          <w:szCs w:val="24"/>
        </w:rPr>
        <w:t>5.2.2</w:t>
      </w:r>
      <w:r>
        <w:rPr>
          <w:rFonts w:hint="eastAsia" w:eastAsia="宋体"/>
          <w:b w:val="0"/>
          <w:sz w:val="24"/>
          <w:szCs w:val="24"/>
        </w:rPr>
        <w:t xml:space="preserve">  电气设备工作接地检测数量不宜少于10%且不少于3处，少于3处应全数检测。</w:t>
      </w:r>
    </w:p>
    <w:p>
      <w:pPr>
        <w:pStyle w:val="12"/>
        <w:tabs>
          <w:tab w:val="left" w:pos="630"/>
        </w:tabs>
        <w:adjustRightInd w:val="0"/>
        <w:snapToGrid w:val="0"/>
        <w:spacing w:line="440" w:lineRule="atLeast"/>
        <w:rPr>
          <w:rFonts w:eastAsia="宋体"/>
          <w:b w:val="0"/>
          <w:sz w:val="24"/>
          <w:szCs w:val="24"/>
        </w:rPr>
      </w:pPr>
      <w:r>
        <w:rPr>
          <w:sz w:val="24"/>
          <w:szCs w:val="24"/>
        </w:rPr>
        <w:t>5.2.</w:t>
      </w:r>
      <w:r>
        <w:rPr>
          <w:rFonts w:hint="eastAsia"/>
          <w:sz w:val="24"/>
          <w:szCs w:val="24"/>
        </w:rPr>
        <w:t>3</w:t>
      </w:r>
      <w:r>
        <w:rPr>
          <w:rFonts w:eastAsia="宋体"/>
          <w:color w:val="548DD4" w:themeColor="text2" w:themeTint="99"/>
          <w:sz w:val="24"/>
          <w:szCs w:val="24"/>
        </w:rPr>
        <w:t xml:space="preserve"> </w:t>
      </w:r>
      <w:r>
        <w:rPr>
          <w:rFonts w:hint="eastAsia" w:eastAsia="宋体"/>
          <w:color w:val="548DD4" w:themeColor="text2" w:themeTint="99"/>
          <w:sz w:val="24"/>
          <w:szCs w:val="24"/>
        </w:rPr>
        <w:t xml:space="preserve"> </w:t>
      </w:r>
      <w:r>
        <w:rPr>
          <w:rFonts w:hint="eastAsia" w:eastAsia="宋体"/>
          <w:b w:val="0"/>
          <w:sz w:val="24"/>
          <w:szCs w:val="24"/>
        </w:rPr>
        <w:t>对太阳能热水系统、太阳能光伏系统及与建筑主体防雷接地系统连接的室外其他电器装置进行检测，不宜少于10%且不少于3处，少于3处应全数检测。</w:t>
      </w:r>
      <w:bookmarkStart w:id="33" w:name="_Toc437343798"/>
    </w:p>
    <w:p>
      <w:pPr>
        <w:tabs>
          <w:tab w:val="left" w:pos="709"/>
        </w:tabs>
        <w:spacing w:line="440" w:lineRule="exact"/>
        <w:jc w:val="left"/>
        <w:rPr>
          <w:rFonts w:ascii="黑体" w:eastAsia="黑体"/>
          <w:color w:val="000000"/>
          <w:szCs w:val="21"/>
          <w:highlight w:val="yellow"/>
        </w:rPr>
      </w:pPr>
      <w:r>
        <w:rPr>
          <w:rFonts w:hint="eastAsia"/>
          <w:b/>
          <w:sz w:val="24"/>
          <w:szCs w:val="24"/>
        </w:rPr>
        <w:t>5</w:t>
      </w:r>
      <w:r>
        <w:rPr>
          <w:b/>
          <w:sz w:val="24"/>
          <w:szCs w:val="24"/>
        </w:rPr>
        <w:t>.2.</w:t>
      </w:r>
      <w:r>
        <w:rPr>
          <w:rFonts w:hint="eastAsia"/>
          <w:b/>
          <w:sz w:val="24"/>
          <w:szCs w:val="24"/>
        </w:rPr>
        <w:t>4</w:t>
      </w:r>
      <w:r>
        <w:rPr>
          <w:sz w:val="24"/>
          <w:szCs w:val="24"/>
        </w:rPr>
        <w:t xml:space="preserve">  </w:t>
      </w:r>
      <w:r>
        <w:rPr>
          <w:rFonts w:hint="eastAsia"/>
          <w:sz w:val="24"/>
          <w:szCs w:val="24"/>
        </w:rPr>
        <w:t>检测时应随机抽样，抽样应具有一定的代表性。</w:t>
      </w:r>
    </w:p>
    <w:p>
      <w:pPr>
        <w:pStyle w:val="3"/>
        <w:spacing w:before="480" w:after="120"/>
      </w:pPr>
      <w:bookmarkStart w:id="34" w:name="_Toc43819626"/>
      <w:bookmarkStart w:id="35" w:name="_Toc43819481"/>
      <w:r>
        <w:t>5.</w:t>
      </w:r>
      <w:r>
        <w:rPr>
          <w:rFonts w:hint="eastAsia"/>
        </w:rPr>
        <w:t>3</w:t>
      </w:r>
      <w:r>
        <w:t xml:space="preserve">  </w:t>
      </w:r>
      <w:r>
        <w:rPr>
          <w:rFonts w:hint="eastAsia"/>
        </w:rPr>
        <w:t>环境条件</w:t>
      </w:r>
      <w:bookmarkEnd w:id="34"/>
      <w:bookmarkEnd w:id="35"/>
    </w:p>
    <w:p>
      <w:pPr>
        <w:pStyle w:val="12"/>
        <w:tabs>
          <w:tab w:val="left" w:pos="630"/>
        </w:tabs>
        <w:adjustRightInd w:val="0"/>
        <w:snapToGrid w:val="0"/>
        <w:spacing w:line="440" w:lineRule="atLeast"/>
        <w:rPr>
          <w:b w:val="0"/>
          <w:bCs/>
          <w:sz w:val="24"/>
          <w:szCs w:val="24"/>
        </w:rPr>
      </w:pPr>
      <w:r>
        <w:rPr>
          <w:rFonts w:eastAsia="宋体"/>
          <w:sz w:val="24"/>
          <w:szCs w:val="24"/>
        </w:rPr>
        <w:t>5.</w:t>
      </w:r>
      <w:r>
        <w:rPr>
          <w:rFonts w:hint="eastAsia" w:eastAsia="宋体"/>
          <w:sz w:val="24"/>
          <w:szCs w:val="24"/>
        </w:rPr>
        <w:t>3</w:t>
      </w:r>
      <w:r>
        <w:rPr>
          <w:rFonts w:eastAsia="宋体"/>
          <w:sz w:val="24"/>
          <w:szCs w:val="24"/>
        </w:rPr>
        <w:t>.1</w:t>
      </w:r>
      <w:r>
        <w:rPr>
          <w:rFonts w:eastAsia="宋体"/>
          <w:b w:val="0"/>
          <w:sz w:val="24"/>
          <w:szCs w:val="24"/>
        </w:rPr>
        <w:t xml:space="preserve">  </w:t>
      </w:r>
      <w:r>
        <w:rPr>
          <w:rFonts w:hint="eastAsia" w:eastAsia="宋体"/>
          <w:b w:val="0"/>
          <w:sz w:val="24"/>
          <w:szCs w:val="24"/>
        </w:rPr>
        <w:t>不得在雨天进行检测。如遇雨天，宜在雨停</w:t>
      </w:r>
      <w:r>
        <w:rPr>
          <w:rFonts w:eastAsia="宋体"/>
          <w:b w:val="0"/>
          <w:sz w:val="24"/>
          <w:szCs w:val="24"/>
        </w:rPr>
        <w:t>24</w:t>
      </w:r>
      <w:r>
        <w:rPr>
          <w:rFonts w:hint="eastAsia" w:eastAsia="宋体"/>
          <w:b w:val="0"/>
          <w:sz w:val="24"/>
          <w:szCs w:val="24"/>
        </w:rPr>
        <w:t>小时后开展检测试验工作。</w:t>
      </w:r>
    </w:p>
    <w:p>
      <w:pPr>
        <w:pStyle w:val="12"/>
        <w:tabs>
          <w:tab w:val="left" w:pos="630"/>
        </w:tabs>
        <w:adjustRightInd w:val="0"/>
        <w:snapToGrid w:val="0"/>
        <w:spacing w:line="440" w:lineRule="atLeast"/>
      </w:pPr>
      <w:r>
        <w:rPr>
          <w:rFonts w:eastAsia="宋体"/>
          <w:sz w:val="24"/>
          <w:szCs w:val="24"/>
        </w:rPr>
        <w:t>5.</w:t>
      </w:r>
      <w:r>
        <w:rPr>
          <w:rFonts w:hint="eastAsia" w:eastAsia="宋体"/>
          <w:sz w:val="24"/>
          <w:szCs w:val="24"/>
        </w:rPr>
        <w:t>3</w:t>
      </w:r>
      <w:r>
        <w:rPr>
          <w:rFonts w:eastAsia="宋体"/>
          <w:sz w:val="24"/>
          <w:szCs w:val="24"/>
        </w:rPr>
        <w:t>.2</w:t>
      </w:r>
      <w:r>
        <w:rPr>
          <w:rFonts w:hint="eastAsia" w:eastAsia="宋体"/>
          <w:b w:val="0"/>
          <w:sz w:val="24"/>
          <w:szCs w:val="24"/>
        </w:rPr>
        <w:t xml:space="preserve"> </w:t>
      </w:r>
      <w:r>
        <w:rPr>
          <w:rFonts w:eastAsia="宋体"/>
          <w:b w:val="0"/>
          <w:sz w:val="24"/>
          <w:szCs w:val="24"/>
        </w:rPr>
        <w:t xml:space="preserve"> </w:t>
      </w:r>
      <w:r>
        <w:rPr>
          <w:rFonts w:hint="eastAsia" w:eastAsia="宋体"/>
          <w:b w:val="0"/>
          <w:sz w:val="24"/>
          <w:szCs w:val="24"/>
        </w:rPr>
        <w:t>检测时，环境条件应满足仪器设备使用条件的相关要求。</w:t>
      </w:r>
    </w:p>
    <w:p>
      <w:pPr>
        <w:pStyle w:val="3"/>
        <w:spacing w:before="480" w:after="120"/>
      </w:pPr>
      <w:bookmarkStart w:id="36" w:name="_Toc43819482"/>
      <w:bookmarkStart w:id="37" w:name="_Toc43819627"/>
      <w:r>
        <w:t>5.</w:t>
      </w:r>
      <w:bookmarkEnd w:id="33"/>
      <w:r>
        <w:rPr>
          <w:rFonts w:hint="eastAsia"/>
        </w:rPr>
        <w:t>4</w:t>
      </w:r>
      <w:r>
        <w:t xml:space="preserve">  检测</w:t>
      </w:r>
      <w:r>
        <w:rPr>
          <w:rFonts w:hint="eastAsia"/>
        </w:rPr>
        <w:t>方法及要求</w:t>
      </w:r>
      <w:bookmarkEnd w:id="36"/>
      <w:bookmarkEnd w:id="37"/>
    </w:p>
    <w:p>
      <w:pPr>
        <w:pStyle w:val="12"/>
        <w:tabs>
          <w:tab w:val="left" w:pos="630"/>
        </w:tabs>
        <w:adjustRightInd w:val="0"/>
        <w:snapToGrid w:val="0"/>
        <w:spacing w:line="440" w:lineRule="atLeast"/>
        <w:rPr>
          <w:rFonts w:eastAsia="宋体"/>
          <w:b w:val="0"/>
          <w:sz w:val="24"/>
          <w:szCs w:val="24"/>
        </w:rPr>
      </w:pPr>
      <w:r>
        <w:rPr>
          <w:rFonts w:eastAsia="宋体"/>
          <w:sz w:val="24"/>
          <w:szCs w:val="24"/>
        </w:rPr>
        <w:t>5.</w:t>
      </w:r>
      <w:r>
        <w:rPr>
          <w:rFonts w:hint="eastAsia" w:eastAsia="宋体"/>
          <w:sz w:val="24"/>
          <w:szCs w:val="24"/>
        </w:rPr>
        <w:t>4</w:t>
      </w:r>
      <w:r>
        <w:rPr>
          <w:rFonts w:eastAsia="宋体"/>
          <w:sz w:val="24"/>
          <w:szCs w:val="24"/>
        </w:rPr>
        <w:t>.1</w:t>
      </w:r>
      <w:r>
        <w:rPr>
          <w:rFonts w:eastAsia="宋体"/>
          <w:b w:val="0"/>
          <w:sz w:val="24"/>
          <w:szCs w:val="24"/>
        </w:rPr>
        <w:t xml:space="preserve">  </w:t>
      </w:r>
      <w:r>
        <w:rPr>
          <w:rFonts w:hint="eastAsia" w:eastAsia="宋体"/>
          <w:b w:val="0"/>
          <w:sz w:val="24"/>
          <w:szCs w:val="24"/>
        </w:rPr>
        <w:t>宜将电气设备接地干线上其他接地支线的连接点断开。</w:t>
      </w:r>
    </w:p>
    <w:p>
      <w:pPr>
        <w:pStyle w:val="12"/>
        <w:tabs>
          <w:tab w:val="left" w:pos="630"/>
        </w:tabs>
        <w:adjustRightInd w:val="0"/>
        <w:snapToGrid w:val="0"/>
        <w:spacing w:line="440" w:lineRule="atLeast"/>
        <w:rPr>
          <w:rFonts w:eastAsia="宋体"/>
          <w:b w:val="0"/>
          <w:sz w:val="24"/>
          <w:szCs w:val="24"/>
        </w:rPr>
      </w:pPr>
      <w:r>
        <w:rPr>
          <w:rFonts w:eastAsia="宋体"/>
          <w:sz w:val="24"/>
          <w:szCs w:val="24"/>
        </w:rPr>
        <w:t>5.</w:t>
      </w:r>
      <w:r>
        <w:rPr>
          <w:rFonts w:hint="eastAsia" w:eastAsia="宋体"/>
          <w:sz w:val="24"/>
          <w:szCs w:val="24"/>
        </w:rPr>
        <w:t>4</w:t>
      </w:r>
      <w:r>
        <w:rPr>
          <w:rFonts w:eastAsia="宋体"/>
          <w:sz w:val="24"/>
          <w:szCs w:val="24"/>
        </w:rPr>
        <w:t>.2</w:t>
      </w:r>
      <w:r>
        <w:rPr>
          <w:rFonts w:hint="eastAsia" w:eastAsia="宋体"/>
          <w:b w:val="0"/>
          <w:sz w:val="24"/>
          <w:szCs w:val="24"/>
        </w:rPr>
        <w:t xml:space="preserve">  应将测试点、接地探针表面影响导电能力的污垢及锈渍清理干净。</w:t>
      </w:r>
    </w:p>
    <w:p>
      <w:pPr>
        <w:pStyle w:val="12"/>
        <w:tabs>
          <w:tab w:val="left" w:pos="630"/>
        </w:tabs>
        <w:adjustRightInd w:val="0"/>
        <w:snapToGrid w:val="0"/>
        <w:spacing w:line="440" w:lineRule="atLeast"/>
        <w:rPr>
          <w:rFonts w:eastAsia="宋体"/>
          <w:b w:val="0"/>
          <w:sz w:val="24"/>
          <w:szCs w:val="24"/>
        </w:rPr>
      </w:pPr>
      <w:r>
        <w:rPr>
          <w:rFonts w:hint="eastAsia" w:eastAsia="宋体"/>
          <w:sz w:val="24"/>
          <w:szCs w:val="24"/>
        </w:rPr>
        <w:t>5.4.3</w:t>
      </w:r>
      <w:r>
        <w:rPr>
          <w:rFonts w:hint="eastAsia" w:eastAsia="宋体"/>
          <w:b w:val="0"/>
          <w:sz w:val="24"/>
          <w:szCs w:val="24"/>
        </w:rPr>
        <w:t xml:space="preserve">  电极布置时宜将三个电极布置在一条直线上且垂直于接地地网。</w:t>
      </w:r>
    </w:p>
    <w:p>
      <w:pPr>
        <w:pStyle w:val="12"/>
        <w:tabs>
          <w:tab w:val="left" w:pos="630"/>
        </w:tabs>
        <w:adjustRightInd w:val="0"/>
        <w:snapToGrid w:val="0"/>
        <w:spacing w:line="440" w:lineRule="atLeast"/>
        <w:rPr>
          <w:rFonts w:eastAsia="宋体"/>
          <w:b w:val="0"/>
          <w:sz w:val="24"/>
          <w:szCs w:val="24"/>
        </w:rPr>
      </w:pPr>
      <w:r>
        <w:rPr>
          <w:rFonts w:hint="eastAsia" w:eastAsia="宋体"/>
          <w:sz w:val="24"/>
          <w:szCs w:val="24"/>
        </w:rPr>
        <w:t>5.4.4</w:t>
      </w:r>
      <w:r>
        <w:rPr>
          <w:rFonts w:hint="eastAsia" w:eastAsia="宋体"/>
          <w:b w:val="0"/>
          <w:sz w:val="24"/>
          <w:szCs w:val="24"/>
        </w:rPr>
        <w:t xml:space="preserve">  手摇式电阻表法检测应符合下列要求：</w:t>
      </w:r>
    </w:p>
    <w:p>
      <w:pPr>
        <w:pStyle w:val="12"/>
        <w:tabs>
          <w:tab w:val="left" w:pos="630"/>
        </w:tabs>
        <w:adjustRightInd w:val="0"/>
        <w:snapToGrid w:val="0"/>
        <w:spacing w:line="440" w:lineRule="atLeast"/>
        <w:ind w:firstLine="360"/>
        <w:rPr>
          <w:rFonts w:eastAsia="宋体"/>
          <w:b w:val="0"/>
          <w:sz w:val="24"/>
          <w:szCs w:val="24"/>
        </w:rPr>
      </w:pPr>
      <w:r>
        <w:rPr>
          <w:rFonts w:hint="eastAsia" w:eastAsia="宋体"/>
          <w:b w:val="0"/>
          <w:sz w:val="24"/>
          <w:szCs w:val="24"/>
        </w:rPr>
        <w:t>1  将测量仪水平放置后，兆欧表的指针应指向中心线。</w:t>
      </w:r>
    </w:p>
    <w:p>
      <w:pPr>
        <w:pStyle w:val="12"/>
        <w:tabs>
          <w:tab w:val="left" w:pos="630"/>
        </w:tabs>
        <w:adjustRightInd w:val="0"/>
        <w:snapToGrid w:val="0"/>
        <w:spacing w:line="440" w:lineRule="atLeast"/>
        <w:ind w:firstLine="360"/>
        <w:rPr>
          <w:rFonts w:eastAsia="宋体"/>
          <w:b w:val="0"/>
          <w:sz w:val="24"/>
          <w:szCs w:val="24"/>
        </w:rPr>
      </w:pPr>
      <w:r>
        <w:rPr>
          <w:rFonts w:hint="eastAsia" w:eastAsia="宋体"/>
          <w:b w:val="0"/>
          <w:sz w:val="24"/>
          <w:szCs w:val="24"/>
        </w:rPr>
        <w:t>2  将“倍率标度”（或称粗调旋钮）置于最大倍数，并慢慢地转动发电机转柄（指针开始偏移），同时旋动“测量标度盘”，使兆欧表指针指向中心线。</w:t>
      </w:r>
    </w:p>
    <w:p>
      <w:pPr>
        <w:pStyle w:val="12"/>
        <w:tabs>
          <w:tab w:val="left" w:pos="630"/>
        </w:tabs>
        <w:adjustRightInd w:val="0"/>
        <w:snapToGrid w:val="0"/>
        <w:spacing w:line="440" w:lineRule="atLeast"/>
        <w:ind w:firstLine="360"/>
        <w:rPr>
          <w:rFonts w:eastAsia="宋体"/>
          <w:b w:val="0"/>
          <w:sz w:val="24"/>
          <w:szCs w:val="24"/>
        </w:rPr>
      </w:pPr>
      <w:r>
        <w:rPr>
          <w:rFonts w:hint="eastAsia" w:eastAsia="宋体"/>
          <w:b w:val="0"/>
          <w:sz w:val="24"/>
          <w:szCs w:val="24"/>
        </w:rPr>
        <w:t>3  当兆欧表的指针接近于平衡时（指针近于中心线），加快摇动转柄，使其转速达到150r/min以上，同时调整“测量标度盘”，使指针指向中心线。</w:t>
      </w:r>
    </w:p>
    <w:p>
      <w:pPr>
        <w:pStyle w:val="12"/>
        <w:tabs>
          <w:tab w:val="left" w:pos="630"/>
        </w:tabs>
        <w:adjustRightInd w:val="0"/>
        <w:snapToGrid w:val="0"/>
        <w:spacing w:line="440" w:lineRule="atLeast"/>
        <w:ind w:firstLine="360"/>
        <w:rPr>
          <w:rFonts w:eastAsia="宋体"/>
          <w:b w:val="0"/>
          <w:sz w:val="24"/>
          <w:szCs w:val="24"/>
        </w:rPr>
      </w:pPr>
      <w:r>
        <w:rPr>
          <w:rFonts w:hint="eastAsia" w:eastAsia="宋体"/>
          <w:b w:val="0"/>
          <w:sz w:val="24"/>
          <w:szCs w:val="24"/>
        </w:rPr>
        <w:t>4  “测量标度盘”的读数过小（小于1）应将“倍率标度”置于较小的倍数，重新调整“测量标度盘”使指针指向中心线上，并待数值稳定后读出准确读数并记录。</w:t>
      </w:r>
    </w:p>
    <w:p>
      <w:pPr>
        <w:pStyle w:val="12"/>
        <w:tabs>
          <w:tab w:val="left" w:pos="630"/>
          <w:tab w:val="left" w:pos="851"/>
        </w:tabs>
        <w:adjustRightInd w:val="0"/>
        <w:snapToGrid w:val="0"/>
        <w:spacing w:line="440" w:lineRule="atLeast"/>
        <w:ind w:firstLine="360"/>
        <w:rPr>
          <w:rFonts w:eastAsia="宋体"/>
          <w:b w:val="0"/>
          <w:sz w:val="24"/>
          <w:szCs w:val="24"/>
        </w:rPr>
      </w:pPr>
      <w:r>
        <w:rPr>
          <w:rFonts w:hint="eastAsia" w:eastAsia="宋体"/>
          <w:b w:val="0"/>
          <w:sz w:val="24"/>
          <w:szCs w:val="24"/>
        </w:rPr>
        <w:t>5  测量结果：R</w:t>
      </w:r>
      <w:r>
        <w:rPr>
          <w:rFonts w:hint="eastAsia" w:eastAsia="宋体"/>
          <w:b w:val="0"/>
          <w:sz w:val="30"/>
          <w:szCs w:val="30"/>
          <w:vertAlign w:val="subscript"/>
        </w:rPr>
        <w:t>地</w:t>
      </w:r>
      <w:r>
        <w:rPr>
          <w:rFonts w:hint="eastAsia" w:eastAsia="宋体"/>
          <w:b w:val="0"/>
          <w:sz w:val="24"/>
          <w:szCs w:val="24"/>
        </w:rPr>
        <w:t>=“倍率标度”读数×“测量标度盘”读数。</w:t>
      </w:r>
    </w:p>
    <w:p>
      <w:pPr>
        <w:pStyle w:val="12"/>
        <w:tabs>
          <w:tab w:val="left" w:pos="630"/>
        </w:tabs>
        <w:adjustRightInd w:val="0"/>
        <w:snapToGrid w:val="0"/>
        <w:spacing w:line="440" w:lineRule="atLeast"/>
        <w:ind w:firstLine="360"/>
        <w:rPr>
          <w:rFonts w:eastAsia="宋体"/>
          <w:b w:val="0"/>
          <w:sz w:val="24"/>
          <w:szCs w:val="24"/>
        </w:rPr>
      </w:pPr>
      <w:r>
        <w:rPr>
          <w:rFonts w:hint="eastAsia" w:eastAsia="宋体"/>
          <w:b w:val="0"/>
          <w:sz w:val="24"/>
          <w:szCs w:val="24"/>
        </w:rPr>
        <w:t>6  测试接地电阻时的接线连接方式如下：仪表上的E端钮接5m导线，P端钮接20m导线，C端钮接40m导线，导线的另一端分别接被测物的接地极E′、电位探棒P′和电流探棒C′，且E′、P′、C′应保持直线，其间距为20m，接地棒埋入土壤深度不宜少于400mm，保持接地棒良好的接地状态。</w:t>
      </w:r>
    </w:p>
    <w:p>
      <w:pPr>
        <w:pStyle w:val="12"/>
        <w:tabs>
          <w:tab w:val="left" w:pos="630"/>
        </w:tabs>
        <w:adjustRightInd w:val="0"/>
        <w:snapToGrid w:val="0"/>
        <w:spacing w:line="440" w:lineRule="atLeast"/>
        <w:ind w:firstLine="360"/>
        <w:rPr>
          <w:rFonts w:eastAsia="宋体"/>
          <w:b w:val="0"/>
          <w:sz w:val="24"/>
          <w:szCs w:val="24"/>
        </w:rPr>
      </w:pPr>
      <w:r>
        <w:rPr>
          <w:rFonts w:hint="eastAsia" w:eastAsia="宋体"/>
          <w:b w:val="0"/>
          <w:sz w:val="24"/>
          <w:szCs w:val="24"/>
        </w:rPr>
        <w:t>7  测量不少于1Ω接地电阻时的接线如图5.4.4-1所示，将仪表上两个E端钮连接在一起。</w:t>
      </w:r>
    </w:p>
    <w:p>
      <w:pPr>
        <w:pStyle w:val="12"/>
        <w:tabs>
          <w:tab w:val="left" w:pos="630"/>
        </w:tabs>
        <w:adjustRightInd w:val="0"/>
        <w:snapToGrid w:val="0"/>
        <w:spacing w:line="440" w:lineRule="atLeast"/>
        <w:jc w:val="center"/>
        <w:rPr>
          <w:rFonts w:eastAsia="宋体"/>
          <w:b w:val="0"/>
          <w:sz w:val="24"/>
          <w:szCs w:val="24"/>
        </w:rPr>
      </w:pPr>
      <w:r>
        <w:rPr>
          <w:rFonts w:eastAsia="宋体"/>
          <w:b w:val="0"/>
          <w:sz w:val="24"/>
          <w:szCs w:val="24"/>
        </w:rPr>
        <w:pict>
          <v:shape id="_x0000_s1029" o:spid="_x0000_s1029" o:spt="202" type="#_x0000_t202" style="position:absolute;left:0pt;margin-left:66.2pt;margin-top:201.9pt;height:24.55pt;width:33pt;z-index:251660288;mso-width-relative:page;mso-height-relative:page;" fillcolor="#FFFFFF [3212]" filled="f" stroked="f" coordsize="21600,21600">
            <v:path/>
            <v:fill on="f" focussize="0,0"/>
            <v:stroke on="f" color="#FFFFFF [3212]" joinstyle="miter"/>
            <v:imagedata o:title=""/>
            <o:lock v:ext="edit"/>
            <v:textbox>
              <w:txbxContent>
                <w:p>
                  <w:pPr>
                    <w:rPr>
                      <w:szCs w:val="21"/>
                    </w:rPr>
                  </w:pPr>
                  <w:r>
                    <w:rPr>
                      <w:szCs w:val="21"/>
                    </w:rPr>
                    <w:t>E</w:t>
                  </w:r>
                  <w:r>
                    <w:rPr>
                      <w:rFonts w:hint="eastAsia"/>
                      <w:szCs w:val="21"/>
                    </w:rPr>
                    <w:t>′</w:t>
                  </w:r>
                </w:p>
              </w:txbxContent>
            </v:textbox>
          </v:shape>
        </w:pict>
      </w:r>
      <w:r>
        <w:rPr>
          <w:rFonts w:eastAsia="宋体"/>
          <w:b w:val="0"/>
          <w:sz w:val="24"/>
          <w:szCs w:val="24"/>
        </w:rPr>
        <w:pict>
          <v:shape id="_x0000_s1026" o:spid="_x0000_s1026" o:spt="202" type="#_x0000_t202" style="position:absolute;left:0pt;margin-left:102.95pt;margin-top:202.95pt;height:43.5pt;width:18.75pt;z-index:251658240;mso-width-relative:page;mso-height-relative:page;" fillcolor="#FFFFFF [3212]" filled="f" stroked="f" coordsize="21600,21600">
            <v:path/>
            <v:fill on="f" focussize="0,0"/>
            <v:stroke on="f" color="#FFFFFF [3212]" joinstyle="miter"/>
            <v:imagedata o:title=""/>
            <o:lock v:ext="edit"/>
            <v:textbox>
              <w:txbxContent>
                <w:p>
                  <w:pPr>
                    <w:rPr>
                      <w:sz w:val="18"/>
                      <w:szCs w:val="18"/>
                    </w:rPr>
                  </w:pPr>
                  <w:r>
                    <w:rPr>
                      <w:rFonts w:hint="eastAsia"/>
                      <w:sz w:val="18"/>
                      <w:szCs w:val="18"/>
                    </w:rPr>
                    <w:t>接地体</w:t>
                  </w:r>
                </w:p>
              </w:txbxContent>
            </v:textbox>
          </v:shape>
        </w:pict>
      </w:r>
      <w:r>
        <w:rPr>
          <w:rFonts w:eastAsia="宋体"/>
          <w:b w:val="0"/>
          <w:sz w:val="24"/>
          <w:szCs w:val="24"/>
        </w:rPr>
        <w:drawing>
          <wp:inline distT="0" distB="0" distL="0" distR="0">
            <wp:extent cx="4343400" cy="3086100"/>
            <wp:effectExtent l="0" t="0" r="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noChangeArrowheads="1"/>
                    </pic:cNvPicPr>
                  </pic:nvPicPr>
                  <pic:blipFill>
                    <a:blip r:embed="rId5" cstate="print"/>
                    <a:srcRect/>
                    <a:stretch>
                      <a:fillRect/>
                    </a:stretch>
                  </pic:blipFill>
                  <pic:spPr>
                    <a:xfrm>
                      <a:off x="0" y="0"/>
                      <a:ext cx="4343400" cy="3086100"/>
                    </a:xfrm>
                    <a:prstGeom prst="rect">
                      <a:avLst/>
                    </a:prstGeom>
                    <a:noFill/>
                    <a:ln w="9525">
                      <a:noFill/>
                      <a:miter lim="800000"/>
                      <a:headEnd/>
                      <a:tailEnd/>
                    </a:ln>
                  </pic:spPr>
                </pic:pic>
              </a:graphicData>
            </a:graphic>
          </wp:inline>
        </w:drawing>
      </w:r>
    </w:p>
    <w:p>
      <w:pPr>
        <w:pStyle w:val="12"/>
        <w:tabs>
          <w:tab w:val="left" w:pos="630"/>
        </w:tabs>
        <w:adjustRightInd w:val="0"/>
        <w:snapToGrid w:val="0"/>
        <w:spacing w:line="440" w:lineRule="atLeast"/>
        <w:jc w:val="center"/>
        <w:rPr>
          <w:rFonts w:eastAsia="宋体"/>
          <w:sz w:val="21"/>
          <w:szCs w:val="24"/>
        </w:rPr>
      </w:pPr>
      <w:r>
        <w:rPr>
          <w:rFonts w:hint="eastAsia" w:eastAsia="宋体"/>
          <w:sz w:val="21"/>
          <w:szCs w:val="24"/>
        </w:rPr>
        <w:t>图</w:t>
      </w:r>
      <w:r>
        <w:rPr>
          <w:rFonts w:eastAsia="宋体"/>
          <w:sz w:val="21"/>
          <w:szCs w:val="24"/>
        </w:rPr>
        <w:t xml:space="preserve">5.4.4-1  </w:t>
      </w:r>
      <w:r>
        <w:rPr>
          <w:rFonts w:hint="eastAsia" w:eastAsia="宋体"/>
          <w:sz w:val="21"/>
          <w:szCs w:val="24"/>
        </w:rPr>
        <w:t>测量不少于</w:t>
      </w:r>
      <w:r>
        <w:rPr>
          <w:rFonts w:eastAsia="宋体"/>
          <w:sz w:val="21"/>
          <w:szCs w:val="24"/>
        </w:rPr>
        <w:t>1</w:t>
      </w:r>
      <w:r>
        <w:rPr>
          <w:rFonts w:hint="eastAsia" w:eastAsia="宋体"/>
          <w:sz w:val="21"/>
          <w:szCs w:val="24"/>
        </w:rPr>
        <w:t>Ω接地电阻接线图</w:t>
      </w:r>
    </w:p>
    <w:p>
      <w:pPr>
        <w:pStyle w:val="12"/>
        <w:tabs>
          <w:tab w:val="left" w:pos="630"/>
        </w:tabs>
        <w:adjustRightInd w:val="0"/>
        <w:snapToGrid w:val="0"/>
        <w:spacing w:line="440" w:lineRule="atLeast"/>
        <w:ind w:firstLine="360"/>
        <w:rPr>
          <w:rFonts w:eastAsia="宋体"/>
          <w:b w:val="0"/>
          <w:sz w:val="24"/>
          <w:szCs w:val="24"/>
        </w:rPr>
      </w:pPr>
      <w:r>
        <w:rPr>
          <w:rFonts w:hint="eastAsia" w:eastAsia="宋体"/>
          <w:b w:val="0"/>
          <w:sz w:val="24"/>
          <w:szCs w:val="24"/>
        </w:rPr>
        <w:t>8  测量小于1Ω接地电阻时的接线如图5.4.4-2所示，将仪表上两个E端钮导线分别连接到被测接地体上，以消除测量时连接导线电阻对测量结果引入的附加误差。</w:t>
      </w:r>
    </w:p>
    <w:p>
      <w:pPr>
        <w:pStyle w:val="12"/>
        <w:tabs>
          <w:tab w:val="left" w:pos="630"/>
        </w:tabs>
        <w:adjustRightInd w:val="0"/>
        <w:snapToGrid w:val="0"/>
        <w:spacing w:line="440" w:lineRule="atLeast"/>
        <w:jc w:val="center"/>
        <w:rPr>
          <w:rFonts w:eastAsia="宋体"/>
          <w:b w:val="0"/>
          <w:sz w:val="24"/>
          <w:szCs w:val="24"/>
        </w:rPr>
      </w:pPr>
      <w:r>
        <w:rPr>
          <w:rFonts w:eastAsia="宋体"/>
          <w:b w:val="0"/>
          <w:sz w:val="21"/>
          <w:szCs w:val="24"/>
        </w:rPr>
        <w:pict>
          <v:shape id="_x0000_s1030" o:spid="_x0000_s1030" o:spt="202" type="#_x0000_t202" style="position:absolute;left:0pt;margin-left:69.45pt;margin-top:199.4pt;height:18.55pt;width:35.25pt;z-index:251661312;mso-width-relative:page;mso-height-relative:page;" fillcolor="#FFFFFF [3212]" filled="f" stroked="f" coordsize="21600,21600">
            <v:path/>
            <v:fill on="f" focussize="0,0"/>
            <v:stroke on="f" color="#FFFFFF [3212]" joinstyle="miter"/>
            <v:imagedata o:title=""/>
            <o:lock v:ext="edit"/>
            <v:textbox>
              <w:txbxContent>
                <w:p>
                  <w:pPr>
                    <w:rPr>
                      <w:szCs w:val="21"/>
                    </w:rPr>
                  </w:pPr>
                  <w:r>
                    <w:rPr>
                      <w:rFonts w:hint="eastAsia"/>
                      <w:szCs w:val="21"/>
                    </w:rPr>
                    <w:t>E′</w:t>
                  </w:r>
                </w:p>
                <w:p>
                  <w:pPr>
                    <w:rPr>
                      <w:sz w:val="18"/>
                      <w:szCs w:val="18"/>
                    </w:rPr>
                  </w:pPr>
                </w:p>
              </w:txbxContent>
            </v:textbox>
          </v:shape>
        </w:pict>
      </w:r>
      <w:r>
        <w:rPr>
          <w:rFonts w:eastAsia="宋体"/>
          <w:b w:val="0"/>
          <w:sz w:val="24"/>
          <w:szCs w:val="24"/>
        </w:rPr>
        <w:pict>
          <v:shape id="_x0000_s1027" o:spid="_x0000_s1027" o:spt="202" type="#_x0000_t202" style="position:absolute;left:0pt;margin-left:103.2pt;margin-top:203.7pt;height:43.5pt;width:18.75pt;z-index:251659264;mso-width-relative:page;mso-height-relative:page;" fillcolor="#FFFFFF [3212]" filled="f" stroked="f" coordsize="21600,21600">
            <v:path/>
            <v:fill on="f" focussize="0,0"/>
            <v:stroke on="f" color="#FFFFFF [3212]" joinstyle="miter"/>
            <v:imagedata o:title=""/>
            <o:lock v:ext="edit"/>
            <v:textbox>
              <w:txbxContent>
                <w:p>
                  <w:pPr>
                    <w:rPr>
                      <w:sz w:val="18"/>
                      <w:szCs w:val="18"/>
                    </w:rPr>
                  </w:pPr>
                  <w:r>
                    <w:rPr>
                      <w:rFonts w:hint="eastAsia"/>
                      <w:sz w:val="18"/>
                      <w:szCs w:val="18"/>
                    </w:rPr>
                    <w:t>接地体</w:t>
                  </w:r>
                </w:p>
              </w:txbxContent>
            </v:textbox>
          </v:shape>
        </w:pict>
      </w:r>
      <w:r>
        <w:rPr>
          <w:rFonts w:eastAsia="宋体"/>
          <w:b w:val="0"/>
          <w:sz w:val="24"/>
          <w:szCs w:val="24"/>
        </w:rPr>
        <w:drawing>
          <wp:inline distT="0" distB="0" distL="0" distR="0">
            <wp:extent cx="4343400" cy="308610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6" cstate="print"/>
                    <a:srcRect/>
                    <a:stretch>
                      <a:fillRect/>
                    </a:stretch>
                  </pic:blipFill>
                  <pic:spPr>
                    <a:xfrm>
                      <a:off x="0" y="0"/>
                      <a:ext cx="4343400" cy="3086100"/>
                    </a:xfrm>
                    <a:prstGeom prst="rect">
                      <a:avLst/>
                    </a:prstGeom>
                    <a:noFill/>
                    <a:ln w="9525">
                      <a:noFill/>
                      <a:miter lim="800000"/>
                      <a:headEnd/>
                      <a:tailEnd/>
                    </a:ln>
                  </pic:spPr>
                </pic:pic>
              </a:graphicData>
            </a:graphic>
          </wp:inline>
        </w:drawing>
      </w:r>
    </w:p>
    <w:p>
      <w:pPr>
        <w:pStyle w:val="12"/>
        <w:tabs>
          <w:tab w:val="left" w:pos="630"/>
        </w:tabs>
        <w:adjustRightInd w:val="0"/>
        <w:snapToGrid w:val="0"/>
        <w:spacing w:line="440" w:lineRule="atLeast"/>
        <w:jc w:val="center"/>
        <w:rPr>
          <w:rFonts w:eastAsia="宋体"/>
          <w:sz w:val="21"/>
          <w:szCs w:val="24"/>
        </w:rPr>
      </w:pPr>
      <w:r>
        <w:rPr>
          <w:rFonts w:hint="eastAsia" w:eastAsia="宋体"/>
          <w:sz w:val="21"/>
          <w:szCs w:val="24"/>
        </w:rPr>
        <w:t>图</w:t>
      </w:r>
      <w:r>
        <w:rPr>
          <w:rFonts w:eastAsia="宋体"/>
          <w:sz w:val="21"/>
          <w:szCs w:val="24"/>
        </w:rPr>
        <w:t xml:space="preserve">5.4.4-2  </w:t>
      </w:r>
      <w:r>
        <w:rPr>
          <w:rFonts w:hint="eastAsia" w:eastAsia="宋体"/>
          <w:sz w:val="21"/>
          <w:szCs w:val="24"/>
        </w:rPr>
        <w:t>测量少于</w:t>
      </w:r>
      <w:r>
        <w:rPr>
          <w:rFonts w:eastAsia="宋体"/>
          <w:sz w:val="21"/>
          <w:szCs w:val="24"/>
        </w:rPr>
        <w:t>1</w:t>
      </w:r>
      <w:r>
        <w:rPr>
          <w:rFonts w:hint="eastAsia" w:eastAsia="宋体"/>
          <w:sz w:val="21"/>
          <w:szCs w:val="24"/>
        </w:rPr>
        <w:t>Ω接地电阻接线图</w:t>
      </w:r>
    </w:p>
    <w:p>
      <w:pPr>
        <w:pStyle w:val="12"/>
        <w:tabs>
          <w:tab w:val="left" w:pos="630"/>
        </w:tabs>
        <w:adjustRightInd w:val="0"/>
        <w:snapToGrid w:val="0"/>
        <w:spacing w:line="440" w:lineRule="atLeast"/>
        <w:rPr>
          <w:rFonts w:eastAsia="宋体"/>
          <w:b w:val="0"/>
          <w:sz w:val="24"/>
          <w:szCs w:val="24"/>
        </w:rPr>
      </w:pPr>
      <w:r>
        <w:rPr>
          <w:rFonts w:hint="eastAsia" w:eastAsia="宋体"/>
          <w:sz w:val="24"/>
          <w:szCs w:val="24"/>
        </w:rPr>
        <w:t>5.4.5</w:t>
      </w:r>
      <w:r>
        <w:rPr>
          <w:rFonts w:hint="eastAsia" w:eastAsia="宋体"/>
          <w:b w:val="0"/>
          <w:sz w:val="24"/>
          <w:szCs w:val="24"/>
        </w:rPr>
        <w:t xml:space="preserve">  数字式接地电阻测试仪法检测应符合下列要求：</w:t>
      </w:r>
    </w:p>
    <w:p>
      <w:pPr>
        <w:pStyle w:val="12"/>
        <w:tabs>
          <w:tab w:val="left" w:pos="630"/>
        </w:tabs>
        <w:adjustRightInd w:val="0"/>
        <w:snapToGrid w:val="0"/>
        <w:spacing w:line="440" w:lineRule="atLeast"/>
        <w:ind w:firstLine="360"/>
        <w:rPr>
          <w:rFonts w:eastAsia="宋体"/>
          <w:b w:val="0"/>
          <w:sz w:val="24"/>
          <w:szCs w:val="24"/>
        </w:rPr>
      </w:pPr>
      <w:r>
        <w:rPr>
          <w:rFonts w:hint="eastAsia" w:eastAsia="宋体"/>
          <w:b w:val="0"/>
          <w:sz w:val="24"/>
          <w:szCs w:val="24"/>
        </w:rPr>
        <w:t>1  电池容量不应低于20%或仪器</w:t>
      </w:r>
      <w:r>
        <w:rPr>
          <w:rFonts w:eastAsia="宋体"/>
          <w:b w:val="0"/>
          <w:sz w:val="24"/>
          <w:szCs w:val="24"/>
        </w:rPr>
        <w:t>出现电池低电量指示符</w:t>
      </w:r>
      <w:r>
        <w:rPr>
          <w:rFonts w:hint="eastAsia" w:eastAsia="宋体"/>
          <w:b w:val="0"/>
          <w:sz w:val="24"/>
          <w:szCs w:val="24"/>
        </w:rPr>
        <w:t>。</w:t>
      </w:r>
    </w:p>
    <w:p>
      <w:pPr>
        <w:pStyle w:val="12"/>
        <w:tabs>
          <w:tab w:val="left" w:pos="630"/>
        </w:tabs>
        <w:adjustRightInd w:val="0"/>
        <w:snapToGrid w:val="0"/>
        <w:spacing w:line="440" w:lineRule="atLeast"/>
        <w:ind w:firstLine="360"/>
        <w:rPr>
          <w:rFonts w:eastAsia="宋体"/>
          <w:b w:val="0"/>
          <w:sz w:val="24"/>
          <w:szCs w:val="24"/>
        </w:rPr>
      </w:pPr>
      <w:r>
        <w:rPr>
          <w:rFonts w:hint="eastAsia" w:eastAsia="宋体"/>
          <w:b w:val="0"/>
          <w:sz w:val="24"/>
          <w:szCs w:val="24"/>
        </w:rPr>
        <w:t>2  测量接地电阻时的接线如图5.4.5-1所示。d</w:t>
      </w:r>
      <w:r>
        <w:rPr>
          <w:rFonts w:hint="eastAsia" w:eastAsia="宋体"/>
          <w:b w:val="0"/>
          <w:sz w:val="30"/>
          <w:szCs w:val="30"/>
          <w:vertAlign w:val="subscript"/>
        </w:rPr>
        <w:t>ep</w:t>
      </w:r>
      <w:r>
        <w:rPr>
          <w:rFonts w:hint="eastAsia" w:eastAsia="宋体"/>
          <w:b w:val="0"/>
          <w:sz w:val="24"/>
          <w:szCs w:val="24"/>
        </w:rPr>
        <w:t>=5~10m，</w:t>
      </w:r>
      <w:r>
        <w:rPr>
          <w:rFonts w:eastAsia="宋体"/>
          <w:b w:val="0"/>
          <w:sz w:val="24"/>
          <w:szCs w:val="24"/>
        </w:rPr>
        <w:t>de</w:t>
      </w:r>
      <w:r>
        <w:rPr>
          <w:rFonts w:hint="eastAsia" w:eastAsia="宋体"/>
          <w:b w:val="0"/>
          <w:sz w:val="24"/>
          <w:szCs w:val="24"/>
        </w:rPr>
        <w:t>c</w:t>
      </w:r>
      <w:r>
        <w:rPr>
          <w:rFonts w:eastAsia="宋体"/>
          <w:b w:val="0"/>
          <w:sz w:val="24"/>
          <w:szCs w:val="24"/>
        </w:rPr>
        <w:t>=</w:t>
      </w:r>
      <w:r>
        <w:t xml:space="preserve"> </w:t>
      </w:r>
      <w:r>
        <w:rPr>
          <w:rFonts w:eastAsia="宋体"/>
          <w:b w:val="0"/>
          <w:sz w:val="24"/>
          <w:szCs w:val="24"/>
        </w:rPr>
        <w:t>dep</w:t>
      </w:r>
      <w:r>
        <w:rPr>
          <w:rFonts w:hint="eastAsia" w:eastAsia="宋体"/>
          <w:b w:val="0"/>
          <w:sz w:val="24"/>
          <w:szCs w:val="24"/>
        </w:rPr>
        <w:t>/0.618。</w:t>
      </w:r>
    </w:p>
    <w:p>
      <w:pPr>
        <w:pStyle w:val="12"/>
        <w:tabs>
          <w:tab w:val="left" w:pos="630"/>
        </w:tabs>
        <w:adjustRightInd w:val="0"/>
        <w:snapToGrid w:val="0"/>
        <w:spacing w:line="440" w:lineRule="atLeast"/>
        <w:jc w:val="center"/>
        <w:rPr>
          <w:rFonts w:eastAsia="宋体"/>
          <w:b w:val="0"/>
          <w:sz w:val="24"/>
          <w:szCs w:val="24"/>
        </w:rPr>
      </w:pPr>
      <w:r>
        <w:rPr>
          <w:rFonts w:eastAsia="宋体"/>
          <w:b w:val="0"/>
          <w:sz w:val="24"/>
          <w:szCs w:val="24"/>
        </w:rPr>
        <w:pict>
          <v:shape id="_x0000_s1034" o:spid="_x0000_s1034" o:spt="202" type="#_x0000_t202" style="position:absolute;left:0pt;margin-left:372.95pt;margin-top:211.9pt;height:18.55pt;width:34.5pt;z-index:251665408;mso-width-relative:page;mso-height-relative:page;" fillcolor="#FFFFFF [3212]" filled="t" stroked="f" coordsize="21600,21600">
            <v:path/>
            <v:fill on="t" focussize="0,0"/>
            <v:stroke on="f" color="#FFFFFF [3212]" joinstyle="miter"/>
            <v:imagedata o:title=""/>
            <o:lock v:ext="edit"/>
            <v:textbox>
              <w:txbxContent>
                <w:p>
                  <w:pPr>
                    <w:rPr>
                      <w:szCs w:val="21"/>
                    </w:rPr>
                  </w:pPr>
                  <w:r>
                    <w:rPr>
                      <w:rFonts w:hint="eastAsia"/>
                      <w:szCs w:val="21"/>
                    </w:rPr>
                    <w:t>C′</w:t>
                  </w:r>
                </w:p>
                <w:p>
                  <w:pPr>
                    <w:rPr>
                      <w:sz w:val="18"/>
                      <w:szCs w:val="18"/>
                    </w:rPr>
                  </w:pPr>
                </w:p>
              </w:txbxContent>
            </v:textbox>
          </v:shape>
        </w:pict>
      </w:r>
      <w:r>
        <w:rPr>
          <w:rFonts w:eastAsia="宋体"/>
          <w:b w:val="0"/>
          <w:sz w:val="24"/>
          <w:szCs w:val="24"/>
        </w:rPr>
        <w:pict>
          <v:shape id="_x0000_s1033" o:spid="_x0000_s1033" o:spt="202" type="#_x0000_t202" style="position:absolute;left:0pt;margin-left:228.2pt;margin-top:210.2pt;height:18.55pt;width:35.25pt;z-index:251664384;mso-width-relative:page;mso-height-relative:page;" fillcolor="#FFFFFF [3212]" filled="t" stroked="f" coordsize="21600,21600">
            <v:path/>
            <v:fill on="t" focussize="0,0"/>
            <v:stroke on="f" color="#FFFFFF [3212]" joinstyle="miter"/>
            <v:imagedata o:title=""/>
            <o:lock v:ext="edit"/>
            <v:textbox>
              <w:txbxContent>
                <w:p>
                  <w:pPr>
                    <w:rPr>
                      <w:szCs w:val="21"/>
                    </w:rPr>
                  </w:pPr>
                  <w:r>
                    <w:rPr>
                      <w:rFonts w:hint="eastAsia"/>
                      <w:szCs w:val="21"/>
                    </w:rPr>
                    <w:t>P′</w:t>
                  </w:r>
                </w:p>
                <w:p>
                  <w:pPr>
                    <w:rPr>
                      <w:sz w:val="18"/>
                      <w:szCs w:val="18"/>
                    </w:rPr>
                  </w:pPr>
                </w:p>
              </w:txbxContent>
            </v:textbox>
          </v:shape>
        </w:pict>
      </w:r>
      <w:r>
        <w:rPr>
          <w:rFonts w:eastAsia="宋体"/>
          <w:b w:val="0"/>
          <w:sz w:val="24"/>
          <w:szCs w:val="24"/>
        </w:rPr>
        <w:pict>
          <v:shape id="_x0000_s1032" o:spid="_x0000_s1032" o:spt="202" type="#_x0000_t202" style="position:absolute;left:0pt;margin-left:52.7pt;margin-top:207.95pt;height:18.55pt;width:34.5pt;z-index:251663360;mso-width-relative:page;mso-height-relative:page;" fillcolor="#FFFFFF [3212]" filled="t" stroked="f" coordsize="21600,21600">
            <v:path/>
            <v:fill on="t" focussize="0,0"/>
            <v:stroke on="f" color="#FFFFFF [3212]" joinstyle="miter"/>
            <v:imagedata o:title=""/>
            <o:lock v:ext="edit"/>
            <v:textbox>
              <w:txbxContent>
                <w:p>
                  <w:pPr>
                    <w:rPr>
                      <w:szCs w:val="21"/>
                    </w:rPr>
                  </w:pPr>
                  <w:r>
                    <w:rPr>
                      <w:rFonts w:hint="eastAsia"/>
                      <w:szCs w:val="21"/>
                    </w:rPr>
                    <w:t>E′</w:t>
                  </w:r>
                </w:p>
                <w:p>
                  <w:pPr>
                    <w:rPr>
                      <w:sz w:val="18"/>
                      <w:szCs w:val="18"/>
                    </w:rPr>
                  </w:pPr>
                </w:p>
              </w:txbxContent>
            </v:textbox>
          </v:shape>
        </w:pict>
      </w:r>
      <w:r>
        <w:rPr>
          <w:rFonts w:eastAsia="宋体"/>
          <w:b w:val="0"/>
          <w:sz w:val="24"/>
          <w:szCs w:val="24"/>
        </w:rPr>
        <w:pict>
          <v:shape id="_x0000_s1036" o:spid="_x0000_s1036" o:spt="202" type="#_x0000_t202" style="position:absolute;left:0pt;margin-left:155.45pt;margin-top:207.4pt;height:23.8pt;width:34.5pt;z-index:251667456;mso-width-relative:page;mso-height-relative:page;" fillcolor="#FFFFFF [3212]" filled="t" stroked="f" coordsize="21600,21600">
            <v:path/>
            <v:fill on="t" focussize="0,0"/>
            <v:stroke on="f" color="#FFFFFF [3212]" joinstyle="miter"/>
            <v:imagedata o:title=""/>
            <o:lock v:ext="edit"/>
            <v:textbox>
              <w:txbxContent>
                <w:p>
                  <w:pPr>
                    <w:rPr>
                      <w:sz w:val="18"/>
                      <w:szCs w:val="18"/>
                    </w:rPr>
                  </w:pPr>
                  <w:r>
                    <w:rPr>
                      <w:sz w:val="32"/>
                      <w:szCs w:val="32"/>
                    </w:rPr>
                    <w:t>d</w:t>
                  </w:r>
                  <w:r>
                    <w:rPr>
                      <w:rFonts w:hint="eastAsia"/>
                      <w:szCs w:val="21"/>
                    </w:rPr>
                    <w:t>ep</w:t>
                  </w:r>
                </w:p>
              </w:txbxContent>
            </v:textbox>
          </v:shape>
        </w:pict>
      </w:r>
      <w:r>
        <w:rPr>
          <w:rFonts w:eastAsia="宋体"/>
          <w:b w:val="0"/>
          <w:sz w:val="24"/>
          <w:szCs w:val="24"/>
        </w:rPr>
        <w:pict>
          <v:shape id="_x0000_s1035" o:spid="_x0000_s1035" o:spt="202" type="#_x0000_t202" style="position:absolute;left:0pt;margin-left:301.7pt;margin-top:207.4pt;height:23.8pt;width:34.5pt;z-index:251666432;mso-width-relative:page;mso-height-relative:page;" fillcolor="#FFFFFF [3212]" filled="t" stroked="f" coordsize="21600,21600">
            <v:path/>
            <v:fill on="t" focussize="0,0"/>
            <v:stroke on="f" color="#FFFFFF [3212]" joinstyle="miter"/>
            <v:imagedata o:title=""/>
            <o:lock v:ext="edit"/>
            <v:textbox>
              <w:txbxContent>
                <w:p>
                  <w:pPr>
                    <w:rPr>
                      <w:sz w:val="18"/>
                      <w:szCs w:val="18"/>
                    </w:rPr>
                  </w:pPr>
                  <w:r>
                    <w:rPr>
                      <w:sz w:val="32"/>
                      <w:szCs w:val="32"/>
                    </w:rPr>
                    <w:t>d</w:t>
                  </w:r>
                  <w:r>
                    <w:rPr>
                      <w:rFonts w:hint="eastAsia"/>
                      <w:szCs w:val="21"/>
                    </w:rPr>
                    <w:t>ec</w:t>
                  </w:r>
                </w:p>
              </w:txbxContent>
            </v:textbox>
          </v:shape>
        </w:pict>
      </w:r>
      <w:r>
        <w:rPr>
          <w:rFonts w:eastAsia="宋体"/>
          <w:b w:val="0"/>
          <w:sz w:val="24"/>
          <w:szCs w:val="24"/>
        </w:rPr>
        <w:pict>
          <v:shape id="_x0000_s1031" o:spid="_x0000_s1031" o:spt="202" type="#_x0000_t202" style="position:absolute;left:0pt;margin-left:99.45pt;margin-top:210.95pt;height:43.5pt;width:18.75pt;z-index:251662336;mso-width-relative:page;mso-height-relative:page;" fillcolor="#FFFFFF [3212]" filled="f" stroked="f" coordsize="21600,21600">
            <v:path/>
            <v:fill on="f" focussize="0,0"/>
            <v:stroke on="f" color="#FFFFFF [3212]" joinstyle="miter"/>
            <v:imagedata o:title=""/>
            <o:lock v:ext="edit"/>
            <v:textbox>
              <w:txbxContent>
                <w:p>
                  <w:pPr>
                    <w:rPr>
                      <w:sz w:val="18"/>
                      <w:szCs w:val="18"/>
                    </w:rPr>
                  </w:pPr>
                  <w:r>
                    <w:rPr>
                      <w:rFonts w:hint="eastAsia"/>
                      <w:sz w:val="18"/>
                      <w:szCs w:val="18"/>
                    </w:rPr>
                    <w:t>接地体</w:t>
                  </w:r>
                </w:p>
              </w:txbxContent>
            </v:textbox>
          </v:shape>
        </w:pict>
      </w:r>
      <w:r>
        <w:rPr>
          <w:rFonts w:eastAsia="宋体"/>
          <w:b w:val="0"/>
          <w:sz w:val="24"/>
          <w:szCs w:val="24"/>
        </w:rPr>
        <w:drawing>
          <wp:inline distT="0" distB="0" distL="0" distR="0">
            <wp:extent cx="4469130" cy="3177540"/>
            <wp:effectExtent l="0" t="0" r="0"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noChangeArrowheads="1"/>
                    </pic:cNvPicPr>
                  </pic:nvPicPr>
                  <pic:blipFill>
                    <a:blip r:embed="rId7" cstate="print"/>
                    <a:srcRect/>
                    <a:stretch>
                      <a:fillRect/>
                    </a:stretch>
                  </pic:blipFill>
                  <pic:spPr>
                    <a:xfrm>
                      <a:off x="0" y="0"/>
                      <a:ext cx="4469130" cy="3177540"/>
                    </a:xfrm>
                    <a:prstGeom prst="rect">
                      <a:avLst/>
                    </a:prstGeom>
                    <a:noFill/>
                    <a:ln w="9525">
                      <a:noFill/>
                      <a:miter lim="800000"/>
                      <a:headEnd/>
                      <a:tailEnd/>
                    </a:ln>
                  </pic:spPr>
                </pic:pic>
              </a:graphicData>
            </a:graphic>
          </wp:inline>
        </w:drawing>
      </w:r>
    </w:p>
    <w:p>
      <w:pPr>
        <w:pStyle w:val="12"/>
        <w:tabs>
          <w:tab w:val="left" w:pos="630"/>
        </w:tabs>
        <w:adjustRightInd w:val="0"/>
        <w:snapToGrid w:val="0"/>
        <w:spacing w:line="440" w:lineRule="atLeast"/>
        <w:jc w:val="center"/>
        <w:rPr>
          <w:rFonts w:eastAsia="宋体"/>
          <w:sz w:val="21"/>
          <w:szCs w:val="24"/>
        </w:rPr>
      </w:pPr>
      <w:r>
        <w:rPr>
          <w:rFonts w:hint="eastAsia" w:eastAsia="宋体"/>
          <w:sz w:val="21"/>
          <w:szCs w:val="24"/>
        </w:rPr>
        <w:t>图</w:t>
      </w:r>
      <w:r>
        <w:rPr>
          <w:rFonts w:eastAsia="宋体"/>
          <w:sz w:val="21"/>
          <w:szCs w:val="24"/>
        </w:rPr>
        <w:t xml:space="preserve">5.4.5-1  </w:t>
      </w:r>
      <w:r>
        <w:rPr>
          <w:rFonts w:hint="eastAsia" w:eastAsia="宋体"/>
          <w:sz w:val="21"/>
          <w:szCs w:val="24"/>
        </w:rPr>
        <w:t>测量接地电阻接线图</w:t>
      </w:r>
    </w:p>
    <w:p>
      <w:pPr>
        <w:pStyle w:val="12"/>
        <w:tabs>
          <w:tab w:val="left" w:pos="630"/>
        </w:tabs>
        <w:adjustRightInd w:val="0"/>
        <w:snapToGrid w:val="0"/>
        <w:spacing w:line="440" w:lineRule="atLeast"/>
        <w:rPr>
          <w:rFonts w:eastAsia="宋体"/>
          <w:b w:val="0"/>
          <w:sz w:val="24"/>
          <w:szCs w:val="24"/>
        </w:rPr>
      </w:pPr>
      <w:r>
        <w:rPr>
          <w:rFonts w:hint="eastAsia" w:eastAsia="宋体"/>
          <w:sz w:val="24"/>
          <w:szCs w:val="24"/>
        </w:rPr>
        <w:t>5.4.6</w:t>
      </w:r>
      <w:r>
        <w:rPr>
          <w:rFonts w:hint="eastAsia" w:eastAsia="宋体"/>
          <w:b w:val="0"/>
          <w:sz w:val="24"/>
          <w:szCs w:val="24"/>
        </w:rPr>
        <w:t xml:space="preserve">  检测时，可按本规程附录B填写检测结果。</w:t>
      </w:r>
    </w:p>
    <w:p>
      <w:pPr>
        <w:pStyle w:val="12"/>
        <w:tabs>
          <w:tab w:val="left" w:pos="630"/>
        </w:tabs>
        <w:adjustRightInd w:val="0"/>
        <w:snapToGrid w:val="0"/>
        <w:spacing w:line="440" w:lineRule="atLeast"/>
        <w:jc w:val="center"/>
        <w:rPr>
          <w:rFonts w:eastAsia="宋体"/>
          <w:sz w:val="21"/>
          <w:szCs w:val="24"/>
        </w:rPr>
      </w:pPr>
    </w:p>
    <w:p>
      <w:pPr>
        <w:pStyle w:val="3"/>
        <w:spacing w:before="480" w:after="120"/>
      </w:pPr>
      <w:bookmarkStart w:id="38" w:name="_Toc43819483"/>
      <w:bookmarkStart w:id="39" w:name="_Toc43819628"/>
      <w:r>
        <w:t>5.</w:t>
      </w:r>
      <w:r>
        <w:rPr>
          <w:rFonts w:hint="eastAsia"/>
        </w:rPr>
        <w:t>5</w:t>
      </w:r>
      <w:r>
        <w:t xml:space="preserve">  </w:t>
      </w:r>
      <w:r>
        <w:rPr>
          <w:rFonts w:hint="eastAsia"/>
        </w:rPr>
        <w:t>结果</w:t>
      </w:r>
      <w:r>
        <w:t>判定</w:t>
      </w:r>
      <w:bookmarkEnd w:id="38"/>
      <w:bookmarkEnd w:id="39"/>
    </w:p>
    <w:p>
      <w:pPr>
        <w:spacing w:line="440" w:lineRule="exact"/>
        <w:rPr>
          <w:sz w:val="24"/>
          <w:szCs w:val="24"/>
        </w:rPr>
      </w:pPr>
      <w:r>
        <w:rPr>
          <w:b/>
          <w:sz w:val="24"/>
          <w:szCs w:val="24"/>
        </w:rPr>
        <w:t>5.</w:t>
      </w:r>
      <w:r>
        <w:rPr>
          <w:rFonts w:hint="eastAsia"/>
          <w:b/>
          <w:sz w:val="24"/>
          <w:szCs w:val="24"/>
        </w:rPr>
        <w:t>5</w:t>
      </w:r>
      <w:r>
        <w:rPr>
          <w:b/>
          <w:sz w:val="24"/>
          <w:szCs w:val="24"/>
        </w:rPr>
        <w:t xml:space="preserve">.1  </w:t>
      </w:r>
      <w:r>
        <w:rPr>
          <w:rFonts w:hint="eastAsia"/>
          <w:sz w:val="24"/>
          <w:szCs w:val="24"/>
        </w:rPr>
        <w:t>接地电阻应符合设计要求；当无设计要求时，接地电阻不宜大于4Ω；独立接闪器接地电阻不宜大于10Ω。</w:t>
      </w:r>
    </w:p>
    <w:p>
      <w:pPr>
        <w:spacing w:line="440" w:lineRule="exact"/>
        <w:rPr>
          <w:sz w:val="24"/>
          <w:szCs w:val="24"/>
        </w:rPr>
      </w:pPr>
      <w:r>
        <w:rPr>
          <w:rFonts w:hint="eastAsia"/>
          <w:b/>
          <w:sz w:val="24"/>
          <w:szCs w:val="24"/>
        </w:rPr>
        <w:t>5.5.2</w:t>
      </w:r>
      <w:r>
        <w:rPr>
          <w:rFonts w:hint="eastAsia"/>
          <w:sz w:val="24"/>
          <w:szCs w:val="24"/>
        </w:rPr>
        <w:t xml:space="preserve">  对于总容量小于100kVA的电力设备，接地电阻允许大于4Ω,但不大于10Ω。</w:t>
      </w:r>
    </w:p>
    <w:p>
      <w:pPr>
        <w:spacing w:line="440" w:lineRule="exact"/>
        <w:rPr>
          <w:sz w:val="24"/>
          <w:szCs w:val="24"/>
        </w:rPr>
      </w:pPr>
      <w:r>
        <w:rPr>
          <w:rFonts w:hint="eastAsia"/>
          <w:b/>
          <w:sz w:val="24"/>
          <w:szCs w:val="24"/>
        </w:rPr>
        <w:t>5.5.3</w:t>
      </w:r>
      <w:r>
        <w:rPr>
          <w:rFonts w:hint="eastAsia"/>
          <w:sz w:val="24"/>
          <w:szCs w:val="24"/>
        </w:rPr>
        <w:t xml:space="preserve">  对于室外与建筑主体进行等电位联结的电器装置，防雷及接地电阻不应大于该建筑物防雷设计值加上0.1Ω。</w:t>
      </w:r>
    </w:p>
    <w:p>
      <w:pPr>
        <w:spacing w:line="440" w:lineRule="exact"/>
        <w:rPr>
          <w:sz w:val="24"/>
          <w:szCs w:val="24"/>
        </w:rPr>
      </w:pPr>
      <w:r>
        <w:rPr>
          <w:rFonts w:hint="eastAsia"/>
          <w:b/>
          <w:sz w:val="24"/>
          <w:szCs w:val="24"/>
        </w:rPr>
        <w:t>5.5.4</w:t>
      </w:r>
      <w:r>
        <w:rPr>
          <w:rFonts w:hint="eastAsia"/>
          <w:sz w:val="24"/>
          <w:szCs w:val="24"/>
        </w:rPr>
        <w:t xml:space="preserve">  当检测项目中任一项不合格时，则判定该项不合格。</w:t>
      </w:r>
    </w:p>
    <w:p>
      <w:pPr>
        <w:spacing w:line="440" w:lineRule="exact"/>
        <w:rPr>
          <w:sz w:val="24"/>
          <w:szCs w:val="24"/>
        </w:rPr>
      </w:pPr>
      <w:r>
        <w:rPr>
          <w:rFonts w:hint="eastAsia"/>
          <w:b/>
          <w:sz w:val="24"/>
          <w:szCs w:val="24"/>
        </w:rPr>
        <w:t>5.5.5</w:t>
      </w:r>
      <w:r>
        <w:rPr>
          <w:rFonts w:hint="eastAsia"/>
          <w:sz w:val="24"/>
          <w:szCs w:val="24"/>
        </w:rPr>
        <w:t xml:space="preserve">  对于检测结果有不合格的工程，应查明原因进行整改，整改完成后按照抽检数量两倍进行重新检测，直至所测项目全部合格为止。</w:t>
      </w:r>
    </w:p>
    <w:p>
      <w:pPr>
        <w:widowControl/>
        <w:jc w:val="left"/>
        <w:rPr>
          <w:sz w:val="24"/>
          <w:szCs w:val="24"/>
        </w:rPr>
      </w:pPr>
      <w:r>
        <w:rPr>
          <w:sz w:val="24"/>
          <w:szCs w:val="24"/>
        </w:rPr>
        <w:br w:type="page"/>
      </w:r>
    </w:p>
    <w:p>
      <w:pPr>
        <w:pStyle w:val="2"/>
        <w:spacing w:before="240" w:after="360"/>
      </w:pPr>
      <w:bookmarkStart w:id="40" w:name="_Toc43819629"/>
      <w:bookmarkStart w:id="41" w:name="_Toc43819484"/>
      <w:r>
        <w:rPr>
          <w:rFonts w:hint="eastAsia"/>
        </w:rPr>
        <w:t>附录A 绝缘电阻检测记录表</w:t>
      </w:r>
      <w:bookmarkEnd w:id="40"/>
      <w:bookmarkEnd w:id="41"/>
    </w:p>
    <w:p>
      <w:pPr>
        <w:spacing w:beforeLines="50" w:afterLines="50" w:line="440" w:lineRule="exact"/>
        <w:rPr>
          <w:sz w:val="24"/>
          <w:szCs w:val="24"/>
        </w:rPr>
      </w:pPr>
      <w:r>
        <w:rPr>
          <w:b/>
          <w:sz w:val="24"/>
          <w:szCs w:val="24"/>
        </w:rPr>
        <w:t>A.0.1</w:t>
      </w:r>
      <w:r>
        <w:rPr>
          <w:rFonts w:hint="eastAsia"/>
          <w:sz w:val="24"/>
          <w:szCs w:val="24"/>
        </w:rPr>
        <w:t xml:space="preserve">  进行绝缘电阻检测时，可按表</w:t>
      </w:r>
      <w:r>
        <w:rPr>
          <w:sz w:val="24"/>
          <w:szCs w:val="24"/>
        </w:rPr>
        <w:t>A.0.1</w:t>
      </w:r>
      <w:r>
        <w:rPr>
          <w:rFonts w:hint="eastAsia"/>
          <w:sz w:val="24"/>
          <w:szCs w:val="24"/>
        </w:rPr>
        <w:t>填写检测结果。</w:t>
      </w:r>
    </w:p>
    <w:p>
      <w:pPr>
        <w:spacing w:beforeLines="50" w:afterLines="50"/>
        <w:jc w:val="center"/>
        <w:rPr>
          <w:b/>
          <w:sz w:val="24"/>
          <w:szCs w:val="24"/>
        </w:rPr>
      </w:pPr>
      <w:r>
        <w:rPr>
          <w:rFonts w:hint="eastAsia"/>
          <w:b/>
          <w:sz w:val="24"/>
          <w:szCs w:val="24"/>
        </w:rPr>
        <w:t>表A.0.1   绝缘电阻检测记录表</w:t>
      </w:r>
    </w:p>
    <w:tbl>
      <w:tblPr>
        <w:tblStyle w:val="35"/>
        <w:tblW w:w="99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715"/>
        <w:gridCol w:w="616"/>
        <w:gridCol w:w="891"/>
        <w:gridCol w:w="763"/>
        <w:gridCol w:w="764"/>
        <w:gridCol w:w="615"/>
        <w:gridCol w:w="149"/>
        <w:gridCol w:w="764"/>
        <w:gridCol w:w="783"/>
        <w:gridCol w:w="764"/>
        <w:gridCol w:w="764"/>
        <w:gridCol w:w="764"/>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exact"/>
          <w:jc w:val="center"/>
        </w:trPr>
        <w:tc>
          <w:tcPr>
            <w:tcW w:w="2152" w:type="dxa"/>
            <w:gridSpan w:val="3"/>
            <w:vAlign w:val="center"/>
          </w:tcPr>
          <w:p>
            <w:pPr>
              <w:spacing w:line="200" w:lineRule="atLeast"/>
              <w:jc w:val="center"/>
              <w:rPr>
                <w:rFonts w:ascii="宋体" w:hAnsi="宋体"/>
                <w:sz w:val="24"/>
              </w:rPr>
            </w:pPr>
            <w:r>
              <w:rPr>
                <w:rFonts w:hint="eastAsia" w:ascii="宋体" w:hAnsi="宋体"/>
                <w:sz w:val="24"/>
              </w:rPr>
              <w:t>检测依据</w:t>
            </w:r>
          </w:p>
        </w:tc>
        <w:tc>
          <w:tcPr>
            <w:tcW w:w="7789" w:type="dxa"/>
            <w:gridSpan w:val="11"/>
            <w:vAlign w:val="center"/>
          </w:tcPr>
          <w:p>
            <w:pPr>
              <w:spacing w:line="14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exact"/>
          <w:jc w:val="center"/>
        </w:trPr>
        <w:tc>
          <w:tcPr>
            <w:tcW w:w="2152" w:type="dxa"/>
            <w:gridSpan w:val="3"/>
            <w:vAlign w:val="center"/>
          </w:tcPr>
          <w:p>
            <w:pPr>
              <w:spacing w:line="200" w:lineRule="atLeast"/>
              <w:ind w:left="240" w:hanging="240" w:hangingChars="100"/>
              <w:jc w:val="center"/>
              <w:rPr>
                <w:rFonts w:ascii="宋体" w:hAnsi="宋体"/>
                <w:sz w:val="24"/>
              </w:rPr>
            </w:pPr>
            <w:r>
              <w:rPr>
                <w:rFonts w:hint="eastAsia" w:ascii="宋体" w:hAnsi="宋体"/>
                <w:sz w:val="24"/>
              </w:rPr>
              <w:t>工作电压（V）</w:t>
            </w:r>
          </w:p>
        </w:tc>
        <w:tc>
          <w:tcPr>
            <w:tcW w:w="3033" w:type="dxa"/>
            <w:gridSpan w:val="4"/>
            <w:vAlign w:val="center"/>
          </w:tcPr>
          <w:p>
            <w:pPr>
              <w:spacing w:line="200" w:lineRule="atLeast"/>
              <w:rPr>
                <w:rFonts w:ascii="宋体" w:hAnsi="宋体"/>
                <w:sz w:val="24"/>
              </w:rPr>
            </w:pPr>
          </w:p>
        </w:tc>
        <w:tc>
          <w:tcPr>
            <w:tcW w:w="1696" w:type="dxa"/>
            <w:gridSpan w:val="3"/>
            <w:vAlign w:val="center"/>
          </w:tcPr>
          <w:p>
            <w:pPr>
              <w:spacing w:line="200" w:lineRule="atLeast"/>
              <w:jc w:val="center"/>
              <w:rPr>
                <w:rFonts w:ascii="宋体" w:hAnsi="宋体"/>
                <w:sz w:val="24"/>
              </w:rPr>
            </w:pPr>
            <w:r>
              <w:rPr>
                <w:rFonts w:hint="eastAsia" w:ascii="宋体" w:hAnsi="宋体"/>
                <w:sz w:val="24"/>
              </w:rPr>
              <w:t>检测日期</w:t>
            </w:r>
          </w:p>
        </w:tc>
        <w:tc>
          <w:tcPr>
            <w:tcW w:w="3060" w:type="dxa"/>
            <w:gridSpan w:val="4"/>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7" w:hRule="exact"/>
          <w:jc w:val="center"/>
        </w:trPr>
        <w:tc>
          <w:tcPr>
            <w:tcW w:w="2152" w:type="dxa"/>
            <w:gridSpan w:val="3"/>
            <w:vAlign w:val="center"/>
          </w:tcPr>
          <w:p>
            <w:pPr>
              <w:spacing w:line="320" w:lineRule="exact"/>
              <w:jc w:val="center"/>
              <w:rPr>
                <w:rFonts w:ascii="宋体" w:hAnsi="宋体"/>
                <w:sz w:val="24"/>
              </w:rPr>
            </w:pPr>
            <w:r>
              <w:rPr>
                <w:rFonts w:hint="eastAsia" w:ascii="宋体" w:hAnsi="宋体"/>
                <w:sz w:val="24"/>
              </w:rPr>
              <w:t>仪器设备编号</w:t>
            </w:r>
          </w:p>
        </w:tc>
        <w:tc>
          <w:tcPr>
            <w:tcW w:w="3033" w:type="dxa"/>
            <w:gridSpan w:val="4"/>
            <w:vAlign w:val="center"/>
          </w:tcPr>
          <w:p>
            <w:pPr>
              <w:spacing w:line="320" w:lineRule="exact"/>
              <w:rPr>
                <w:rFonts w:ascii="宋体" w:hAnsi="宋体"/>
                <w:sz w:val="24"/>
              </w:rPr>
            </w:pPr>
          </w:p>
        </w:tc>
        <w:tc>
          <w:tcPr>
            <w:tcW w:w="1696" w:type="dxa"/>
            <w:gridSpan w:val="3"/>
            <w:vAlign w:val="center"/>
          </w:tcPr>
          <w:p>
            <w:pPr>
              <w:spacing w:line="320" w:lineRule="exact"/>
              <w:jc w:val="center"/>
              <w:rPr>
                <w:rFonts w:ascii="宋体" w:hAnsi="宋体"/>
                <w:sz w:val="24"/>
              </w:rPr>
            </w:pPr>
            <w:r>
              <w:rPr>
                <w:rFonts w:hint="eastAsia" w:ascii="宋体" w:hAnsi="宋体"/>
                <w:sz w:val="24"/>
              </w:rPr>
              <w:t>检定/校准</w:t>
            </w:r>
          </w:p>
          <w:p>
            <w:pPr>
              <w:spacing w:line="320" w:lineRule="exact"/>
              <w:jc w:val="center"/>
              <w:rPr>
                <w:rFonts w:ascii="宋体" w:hAnsi="宋体"/>
                <w:sz w:val="24"/>
              </w:rPr>
            </w:pPr>
            <w:r>
              <w:rPr>
                <w:rFonts w:hint="eastAsia" w:ascii="宋体" w:hAnsi="宋体"/>
                <w:sz w:val="24"/>
              </w:rPr>
              <w:t>有效期</w:t>
            </w:r>
          </w:p>
        </w:tc>
        <w:tc>
          <w:tcPr>
            <w:tcW w:w="3060" w:type="dxa"/>
            <w:gridSpan w:val="4"/>
            <w:vAlign w:val="center"/>
          </w:tcPr>
          <w:p>
            <w:pPr>
              <w:spacing w:line="3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exact"/>
          <w:jc w:val="center"/>
        </w:trPr>
        <w:tc>
          <w:tcPr>
            <w:tcW w:w="9941" w:type="dxa"/>
            <w:gridSpan w:val="14"/>
            <w:vAlign w:val="center"/>
          </w:tcPr>
          <w:p>
            <w:pPr>
              <w:spacing w:line="200" w:lineRule="atLeast"/>
              <w:jc w:val="center"/>
              <w:rPr>
                <w:rFonts w:ascii="宋体" w:hAnsi="宋体"/>
                <w:sz w:val="24"/>
              </w:rPr>
            </w:pPr>
            <w:r>
              <w:rPr>
                <w:rFonts w:hint="eastAsia" w:ascii="宋体" w:hAnsi="宋体"/>
                <w:sz w:val="24"/>
              </w:rPr>
              <w:t>绝    缘    电    阻    （MΩ）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exact"/>
          <w:jc w:val="center"/>
        </w:trPr>
        <w:tc>
          <w:tcPr>
            <w:tcW w:w="821" w:type="dxa"/>
            <w:vMerge w:val="restart"/>
            <w:vAlign w:val="center"/>
          </w:tcPr>
          <w:p>
            <w:pPr>
              <w:spacing w:line="200" w:lineRule="atLeast"/>
              <w:jc w:val="center"/>
              <w:rPr>
                <w:rFonts w:ascii="宋体" w:hAnsi="宋体"/>
                <w:sz w:val="24"/>
              </w:rPr>
            </w:pPr>
            <w:r>
              <w:rPr>
                <w:rFonts w:hint="eastAsia" w:ascii="宋体" w:hAnsi="宋体"/>
                <w:sz w:val="24"/>
              </w:rPr>
              <w:t>配电箱名  称</w:t>
            </w:r>
          </w:p>
        </w:tc>
        <w:tc>
          <w:tcPr>
            <w:tcW w:w="2222" w:type="dxa"/>
            <w:gridSpan w:val="3"/>
            <w:vMerge w:val="restart"/>
            <w:vAlign w:val="center"/>
          </w:tcPr>
          <w:p>
            <w:pPr>
              <w:spacing w:line="200" w:lineRule="atLeast"/>
              <w:jc w:val="center"/>
              <w:rPr>
                <w:rFonts w:ascii="宋体" w:hAnsi="宋体"/>
                <w:sz w:val="24"/>
              </w:rPr>
            </w:pPr>
            <w:r>
              <w:rPr>
                <w:rFonts w:hint="eastAsia" w:ascii="宋体" w:hAnsi="宋体"/>
                <w:sz w:val="24"/>
              </w:rPr>
              <w:t>回路编号及名称</w:t>
            </w:r>
          </w:p>
        </w:tc>
        <w:tc>
          <w:tcPr>
            <w:tcW w:w="6898" w:type="dxa"/>
            <w:gridSpan w:val="10"/>
            <w:vAlign w:val="center"/>
          </w:tcPr>
          <w:p>
            <w:pPr>
              <w:spacing w:line="200" w:lineRule="atLeast"/>
              <w:jc w:val="center"/>
              <w:rPr>
                <w:rFonts w:ascii="宋体" w:hAnsi="宋体"/>
                <w:sz w:val="24"/>
              </w:rPr>
            </w:pPr>
            <w:r>
              <w:rPr>
                <w:rFonts w:hint="eastAsia" w:ascii="宋体" w:hAnsi="宋体"/>
                <w:sz w:val="24"/>
              </w:rPr>
              <w:t>相  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exact"/>
          <w:jc w:val="center"/>
        </w:trPr>
        <w:tc>
          <w:tcPr>
            <w:tcW w:w="821" w:type="dxa"/>
            <w:vMerge w:val="continue"/>
            <w:vAlign w:val="center"/>
          </w:tcPr>
          <w:p>
            <w:pPr>
              <w:jc w:val="center"/>
              <w:rPr>
                <w:rFonts w:ascii="宋体" w:hAnsi="宋体"/>
                <w:sz w:val="24"/>
              </w:rPr>
            </w:pPr>
          </w:p>
        </w:tc>
        <w:tc>
          <w:tcPr>
            <w:tcW w:w="2222" w:type="dxa"/>
            <w:gridSpan w:val="3"/>
            <w:vMerge w:val="continue"/>
            <w:vAlign w:val="center"/>
          </w:tcPr>
          <w:p>
            <w:pPr>
              <w:jc w:val="center"/>
              <w:rPr>
                <w:rFonts w:ascii="宋体" w:hAnsi="宋体"/>
                <w:sz w:val="24"/>
              </w:rPr>
            </w:pPr>
          </w:p>
        </w:tc>
        <w:tc>
          <w:tcPr>
            <w:tcW w:w="763" w:type="dxa"/>
            <w:vAlign w:val="center"/>
          </w:tcPr>
          <w:p>
            <w:pPr>
              <w:jc w:val="center"/>
              <w:rPr>
                <w:rFonts w:ascii="宋体" w:hAnsi="宋体"/>
                <w:sz w:val="24"/>
              </w:rPr>
            </w:pPr>
            <w:r>
              <w:rPr>
                <w:rFonts w:hint="eastAsia" w:ascii="宋体" w:hAnsi="宋体"/>
                <w:sz w:val="24"/>
              </w:rPr>
              <w:t>A-B</w:t>
            </w:r>
          </w:p>
        </w:tc>
        <w:tc>
          <w:tcPr>
            <w:tcW w:w="764" w:type="dxa"/>
            <w:vAlign w:val="center"/>
          </w:tcPr>
          <w:p>
            <w:pPr>
              <w:jc w:val="center"/>
              <w:rPr>
                <w:rFonts w:ascii="宋体" w:hAnsi="宋体"/>
                <w:sz w:val="24"/>
              </w:rPr>
            </w:pPr>
            <w:r>
              <w:rPr>
                <w:rFonts w:hint="eastAsia" w:ascii="宋体" w:hAnsi="宋体"/>
                <w:sz w:val="24"/>
              </w:rPr>
              <w:t>B-C</w:t>
            </w:r>
          </w:p>
        </w:tc>
        <w:tc>
          <w:tcPr>
            <w:tcW w:w="764" w:type="dxa"/>
            <w:gridSpan w:val="2"/>
            <w:vAlign w:val="center"/>
          </w:tcPr>
          <w:p>
            <w:pPr>
              <w:jc w:val="center"/>
              <w:rPr>
                <w:rFonts w:ascii="宋体" w:hAnsi="宋体"/>
                <w:sz w:val="24"/>
              </w:rPr>
            </w:pPr>
            <w:r>
              <w:rPr>
                <w:rFonts w:hint="eastAsia" w:ascii="宋体" w:hAnsi="宋体"/>
                <w:sz w:val="24"/>
              </w:rPr>
              <w:t>C-A</w:t>
            </w:r>
          </w:p>
        </w:tc>
        <w:tc>
          <w:tcPr>
            <w:tcW w:w="764" w:type="dxa"/>
            <w:vAlign w:val="center"/>
          </w:tcPr>
          <w:p>
            <w:pPr>
              <w:jc w:val="center"/>
              <w:rPr>
                <w:rFonts w:ascii="宋体" w:hAnsi="宋体"/>
                <w:sz w:val="24"/>
              </w:rPr>
            </w:pPr>
            <w:r>
              <w:rPr>
                <w:rFonts w:ascii="宋体" w:hAnsi="宋体"/>
                <w:sz w:val="24"/>
              </w:rPr>
              <w:t>A-0</w:t>
            </w:r>
          </w:p>
        </w:tc>
        <w:tc>
          <w:tcPr>
            <w:tcW w:w="783" w:type="dxa"/>
            <w:vAlign w:val="center"/>
          </w:tcPr>
          <w:p>
            <w:pPr>
              <w:jc w:val="center"/>
              <w:rPr>
                <w:rFonts w:ascii="宋体" w:hAnsi="宋体"/>
                <w:sz w:val="24"/>
              </w:rPr>
            </w:pPr>
            <w:r>
              <w:rPr>
                <w:rFonts w:ascii="宋体" w:hAnsi="宋体"/>
                <w:sz w:val="24"/>
              </w:rPr>
              <w:t>B-0</w:t>
            </w:r>
          </w:p>
        </w:tc>
        <w:tc>
          <w:tcPr>
            <w:tcW w:w="764" w:type="dxa"/>
            <w:vAlign w:val="center"/>
          </w:tcPr>
          <w:p>
            <w:pPr>
              <w:jc w:val="center"/>
              <w:rPr>
                <w:rFonts w:ascii="宋体" w:hAnsi="宋体"/>
                <w:sz w:val="24"/>
              </w:rPr>
            </w:pPr>
            <w:r>
              <w:rPr>
                <w:rFonts w:ascii="宋体" w:hAnsi="宋体"/>
                <w:sz w:val="24"/>
              </w:rPr>
              <w:t>C-0</w:t>
            </w:r>
          </w:p>
        </w:tc>
        <w:tc>
          <w:tcPr>
            <w:tcW w:w="764" w:type="dxa"/>
            <w:vAlign w:val="center"/>
          </w:tcPr>
          <w:p>
            <w:pPr>
              <w:jc w:val="center"/>
              <w:rPr>
                <w:rFonts w:ascii="宋体" w:hAnsi="宋体"/>
                <w:sz w:val="24"/>
              </w:rPr>
            </w:pPr>
            <w:r>
              <w:rPr>
                <w:rFonts w:hint="eastAsia" w:ascii="宋体" w:hAnsi="宋体"/>
                <w:sz w:val="24"/>
              </w:rPr>
              <w:t>A-地</w:t>
            </w:r>
          </w:p>
        </w:tc>
        <w:tc>
          <w:tcPr>
            <w:tcW w:w="764" w:type="dxa"/>
            <w:vAlign w:val="center"/>
          </w:tcPr>
          <w:p>
            <w:pPr>
              <w:jc w:val="center"/>
              <w:rPr>
                <w:rFonts w:ascii="宋体" w:hAnsi="宋体"/>
                <w:sz w:val="24"/>
              </w:rPr>
            </w:pPr>
            <w:r>
              <w:rPr>
                <w:rFonts w:hint="eastAsia" w:ascii="宋体" w:hAnsi="宋体"/>
                <w:sz w:val="24"/>
              </w:rPr>
              <w:t>B-地</w:t>
            </w:r>
          </w:p>
        </w:tc>
        <w:tc>
          <w:tcPr>
            <w:tcW w:w="768" w:type="dxa"/>
            <w:vAlign w:val="center"/>
          </w:tcPr>
          <w:p>
            <w:pPr>
              <w:jc w:val="center"/>
              <w:rPr>
                <w:rFonts w:ascii="宋体" w:hAnsi="宋体"/>
                <w:sz w:val="24"/>
              </w:rPr>
            </w:pPr>
            <w:r>
              <w:rPr>
                <w:rFonts w:hint="eastAsia" w:ascii="宋体" w:hAnsi="宋体"/>
                <w:sz w:val="24"/>
              </w:rPr>
              <w:t>C-地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exact"/>
          <w:jc w:val="center"/>
        </w:trPr>
        <w:tc>
          <w:tcPr>
            <w:tcW w:w="821" w:type="dxa"/>
            <w:vMerge w:val="restart"/>
            <w:vAlign w:val="center"/>
          </w:tcPr>
          <w:p>
            <w:pPr>
              <w:jc w:val="center"/>
              <w:rPr>
                <w:rFonts w:ascii="宋体" w:hAnsi="宋体"/>
                <w:sz w:val="24"/>
              </w:rPr>
            </w:pPr>
          </w:p>
          <w:p>
            <w:pPr>
              <w:jc w:val="center"/>
              <w:rPr>
                <w:rFonts w:ascii="宋体" w:hAnsi="宋体"/>
                <w:sz w:val="24"/>
              </w:rPr>
            </w:pPr>
          </w:p>
        </w:tc>
        <w:tc>
          <w:tcPr>
            <w:tcW w:w="715" w:type="dxa"/>
            <w:vAlign w:val="center"/>
          </w:tcPr>
          <w:p>
            <w:pPr>
              <w:jc w:val="center"/>
              <w:rPr>
                <w:rFonts w:ascii="宋体" w:hAnsi="宋体"/>
                <w:sz w:val="24"/>
              </w:rPr>
            </w:pPr>
          </w:p>
        </w:tc>
        <w:tc>
          <w:tcPr>
            <w:tcW w:w="1507" w:type="dxa"/>
            <w:gridSpan w:val="2"/>
            <w:vAlign w:val="center"/>
          </w:tcPr>
          <w:p>
            <w:pPr>
              <w:jc w:val="center"/>
              <w:rPr>
                <w:rFonts w:ascii="宋体" w:hAnsi="宋体"/>
                <w:sz w:val="24"/>
              </w:rPr>
            </w:pPr>
          </w:p>
        </w:tc>
        <w:tc>
          <w:tcPr>
            <w:tcW w:w="763"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gridSpan w:val="2"/>
            <w:vAlign w:val="center"/>
          </w:tcPr>
          <w:p>
            <w:pPr>
              <w:jc w:val="center"/>
              <w:rPr>
                <w:rFonts w:ascii="宋体" w:hAnsi="宋体"/>
                <w:sz w:val="24"/>
              </w:rPr>
            </w:pPr>
          </w:p>
        </w:tc>
        <w:tc>
          <w:tcPr>
            <w:tcW w:w="764" w:type="dxa"/>
            <w:vAlign w:val="center"/>
          </w:tcPr>
          <w:p>
            <w:pPr>
              <w:jc w:val="center"/>
              <w:rPr>
                <w:rFonts w:ascii="宋体" w:hAnsi="宋体"/>
                <w:sz w:val="24"/>
              </w:rPr>
            </w:pPr>
          </w:p>
        </w:tc>
        <w:tc>
          <w:tcPr>
            <w:tcW w:w="783"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exact"/>
          <w:jc w:val="center"/>
        </w:trPr>
        <w:tc>
          <w:tcPr>
            <w:tcW w:w="821" w:type="dxa"/>
            <w:vMerge w:val="continue"/>
            <w:vAlign w:val="center"/>
          </w:tcPr>
          <w:p>
            <w:pPr>
              <w:jc w:val="center"/>
              <w:rPr>
                <w:rFonts w:ascii="宋体" w:hAnsi="宋体"/>
                <w:sz w:val="24"/>
              </w:rPr>
            </w:pPr>
          </w:p>
        </w:tc>
        <w:tc>
          <w:tcPr>
            <w:tcW w:w="715" w:type="dxa"/>
            <w:vAlign w:val="center"/>
          </w:tcPr>
          <w:p>
            <w:pPr>
              <w:jc w:val="center"/>
              <w:rPr>
                <w:rFonts w:ascii="宋体" w:hAnsi="宋体"/>
                <w:sz w:val="24"/>
              </w:rPr>
            </w:pPr>
          </w:p>
        </w:tc>
        <w:tc>
          <w:tcPr>
            <w:tcW w:w="1507" w:type="dxa"/>
            <w:gridSpan w:val="2"/>
            <w:vAlign w:val="center"/>
          </w:tcPr>
          <w:p>
            <w:pPr>
              <w:jc w:val="center"/>
              <w:rPr>
                <w:rFonts w:ascii="宋体" w:hAnsi="宋体"/>
                <w:sz w:val="24"/>
              </w:rPr>
            </w:pPr>
          </w:p>
        </w:tc>
        <w:tc>
          <w:tcPr>
            <w:tcW w:w="763"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gridSpan w:val="2"/>
            <w:vAlign w:val="center"/>
          </w:tcPr>
          <w:p>
            <w:pPr>
              <w:jc w:val="center"/>
              <w:rPr>
                <w:rFonts w:ascii="宋体" w:hAnsi="宋体"/>
                <w:sz w:val="24"/>
              </w:rPr>
            </w:pPr>
          </w:p>
        </w:tc>
        <w:tc>
          <w:tcPr>
            <w:tcW w:w="764" w:type="dxa"/>
            <w:vAlign w:val="center"/>
          </w:tcPr>
          <w:p>
            <w:pPr>
              <w:jc w:val="center"/>
              <w:rPr>
                <w:rFonts w:ascii="宋体" w:hAnsi="宋体"/>
                <w:sz w:val="24"/>
              </w:rPr>
            </w:pPr>
          </w:p>
        </w:tc>
        <w:tc>
          <w:tcPr>
            <w:tcW w:w="783"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exact"/>
          <w:jc w:val="center"/>
        </w:trPr>
        <w:tc>
          <w:tcPr>
            <w:tcW w:w="821" w:type="dxa"/>
            <w:vMerge w:val="continue"/>
            <w:vAlign w:val="center"/>
          </w:tcPr>
          <w:p>
            <w:pPr>
              <w:jc w:val="center"/>
              <w:rPr>
                <w:rFonts w:ascii="宋体" w:hAnsi="宋体"/>
                <w:sz w:val="24"/>
              </w:rPr>
            </w:pPr>
          </w:p>
        </w:tc>
        <w:tc>
          <w:tcPr>
            <w:tcW w:w="715" w:type="dxa"/>
            <w:vAlign w:val="center"/>
          </w:tcPr>
          <w:p>
            <w:pPr>
              <w:jc w:val="center"/>
              <w:rPr>
                <w:rFonts w:ascii="宋体" w:hAnsi="宋体"/>
                <w:sz w:val="24"/>
              </w:rPr>
            </w:pPr>
          </w:p>
        </w:tc>
        <w:tc>
          <w:tcPr>
            <w:tcW w:w="1507" w:type="dxa"/>
            <w:gridSpan w:val="2"/>
            <w:vAlign w:val="center"/>
          </w:tcPr>
          <w:p>
            <w:pPr>
              <w:jc w:val="center"/>
              <w:rPr>
                <w:rFonts w:ascii="宋体" w:hAnsi="宋体"/>
                <w:sz w:val="24"/>
              </w:rPr>
            </w:pPr>
          </w:p>
        </w:tc>
        <w:tc>
          <w:tcPr>
            <w:tcW w:w="763"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gridSpan w:val="2"/>
            <w:vAlign w:val="center"/>
          </w:tcPr>
          <w:p>
            <w:pPr>
              <w:jc w:val="center"/>
              <w:rPr>
                <w:rFonts w:ascii="宋体" w:hAnsi="宋体"/>
                <w:sz w:val="24"/>
              </w:rPr>
            </w:pPr>
          </w:p>
        </w:tc>
        <w:tc>
          <w:tcPr>
            <w:tcW w:w="764" w:type="dxa"/>
            <w:vAlign w:val="center"/>
          </w:tcPr>
          <w:p>
            <w:pPr>
              <w:jc w:val="center"/>
              <w:rPr>
                <w:rFonts w:ascii="宋体" w:hAnsi="宋体"/>
                <w:sz w:val="24"/>
              </w:rPr>
            </w:pPr>
          </w:p>
        </w:tc>
        <w:tc>
          <w:tcPr>
            <w:tcW w:w="783"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exact"/>
          <w:jc w:val="center"/>
        </w:trPr>
        <w:tc>
          <w:tcPr>
            <w:tcW w:w="821" w:type="dxa"/>
            <w:vMerge w:val="continue"/>
            <w:vAlign w:val="center"/>
          </w:tcPr>
          <w:p>
            <w:pPr>
              <w:jc w:val="center"/>
              <w:rPr>
                <w:rFonts w:ascii="宋体" w:hAnsi="宋体"/>
                <w:sz w:val="24"/>
              </w:rPr>
            </w:pPr>
          </w:p>
        </w:tc>
        <w:tc>
          <w:tcPr>
            <w:tcW w:w="715" w:type="dxa"/>
            <w:vAlign w:val="center"/>
          </w:tcPr>
          <w:p>
            <w:pPr>
              <w:jc w:val="center"/>
              <w:rPr>
                <w:rFonts w:ascii="宋体" w:hAnsi="宋体"/>
                <w:sz w:val="24"/>
              </w:rPr>
            </w:pPr>
          </w:p>
        </w:tc>
        <w:tc>
          <w:tcPr>
            <w:tcW w:w="1507" w:type="dxa"/>
            <w:gridSpan w:val="2"/>
            <w:vAlign w:val="center"/>
          </w:tcPr>
          <w:p>
            <w:pPr>
              <w:jc w:val="center"/>
              <w:rPr>
                <w:rFonts w:ascii="宋体" w:hAnsi="宋体"/>
                <w:sz w:val="24"/>
              </w:rPr>
            </w:pPr>
          </w:p>
        </w:tc>
        <w:tc>
          <w:tcPr>
            <w:tcW w:w="763"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gridSpan w:val="2"/>
            <w:vAlign w:val="center"/>
          </w:tcPr>
          <w:p>
            <w:pPr>
              <w:jc w:val="center"/>
              <w:rPr>
                <w:rFonts w:ascii="宋体" w:hAnsi="宋体"/>
                <w:sz w:val="24"/>
              </w:rPr>
            </w:pPr>
          </w:p>
        </w:tc>
        <w:tc>
          <w:tcPr>
            <w:tcW w:w="764" w:type="dxa"/>
            <w:vAlign w:val="center"/>
          </w:tcPr>
          <w:p>
            <w:pPr>
              <w:jc w:val="center"/>
              <w:rPr>
                <w:rFonts w:ascii="宋体" w:hAnsi="宋体"/>
                <w:sz w:val="24"/>
              </w:rPr>
            </w:pPr>
          </w:p>
        </w:tc>
        <w:tc>
          <w:tcPr>
            <w:tcW w:w="783"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exact"/>
          <w:jc w:val="center"/>
        </w:trPr>
        <w:tc>
          <w:tcPr>
            <w:tcW w:w="821" w:type="dxa"/>
            <w:vMerge w:val="continue"/>
            <w:vAlign w:val="center"/>
          </w:tcPr>
          <w:p>
            <w:pPr>
              <w:jc w:val="center"/>
              <w:rPr>
                <w:rFonts w:ascii="宋体" w:hAnsi="宋体"/>
                <w:sz w:val="24"/>
              </w:rPr>
            </w:pPr>
          </w:p>
        </w:tc>
        <w:tc>
          <w:tcPr>
            <w:tcW w:w="715" w:type="dxa"/>
            <w:vAlign w:val="center"/>
          </w:tcPr>
          <w:p>
            <w:pPr>
              <w:jc w:val="center"/>
              <w:rPr>
                <w:rFonts w:ascii="宋体" w:hAnsi="宋体"/>
                <w:sz w:val="24"/>
              </w:rPr>
            </w:pPr>
          </w:p>
        </w:tc>
        <w:tc>
          <w:tcPr>
            <w:tcW w:w="1507" w:type="dxa"/>
            <w:gridSpan w:val="2"/>
            <w:vAlign w:val="center"/>
          </w:tcPr>
          <w:p>
            <w:pPr>
              <w:jc w:val="center"/>
              <w:rPr>
                <w:rFonts w:ascii="宋体" w:hAnsi="宋体"/>
                <w:sz w:val="24"/>
              </w:rPr>
            </w:pPr>
          </w:p>
        </w:tc>
        <w:tc>
          <w:tcPr>
            <w:tcW w:w="763"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gridSpan w:val="2"/>
            <w:vAlign w:val="center"/>
          </w:tcPr>
          <w:p>
            <w:pPr>
              <w:jc w:val="center"/>
              <w:rPr>
                <w:rFonts w:ascii="宋体" w:hAnsi="宋体"/>
                <w:sz w:val="24"/>
              </w:rPr>
            </w:pPr>
          </w:p>
        </w:tc>
        <w:tc>
          <w:tcPr>
            <w:tcW w:w="764" w:type="dxa"/>
            <w:vAlign w:val="center"/>
          </w:tcPr>
          <w:p>
            <w:pPr>
              <w:jc w:val="center"/>
              <w:rPr>
                <w:rFonts w:ascii="宋体" w:hAnsi="宋体"/>
                <w:sz w:val="24"/>
              </w:rPr>
            </w:pPr>
          </w:p>
        </w:tc>
        <w:tc>
          <w:tcPr>
            <w:tcW w:w="783"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exact"/>
          <w:jc w:val="center"/>
        </w:trPr>
        <w:tc>
          <w:tcPr>
            <w:tcW w:w="821" w:type="dxa"/>
            <w:vMerge w:val="continue"/>
            <w:vAlign w:val="center"/>
          </w:tcPr>
          <w:p>
            <w:pPr>
              <w:jc w:val="center"/>
              <w:rPr>
                <w:rFonts w:ascii="宋体" w:hAnsi="宋体"/>
                <w:sz w:val="24"/>
              </w:rPr>
            </w:pPr>
          </w:p>
        </w:tc>
        <w:tc>
          <w:tcPr>
            <w:tcW w:w="715" w:type="dxa"/>
            <w:vAlign w:val="center"/>
          </w:tcPr>
          <w:p>
            <w:pPr>
              <w:jc w:val="center"/>
              <w:rPr>
                <w:rFonts w:ascii="宋体" w:hAnsi="宋体"/>
                <w:sz w:val="24"/>
              </w:rPr>
            </w:pPr>
          </w:p>
        </w:tc>
        <w:tc>
          <w:tcPr>
            <w:tcW w:w="1507" w:type="dxa"/>
            <w:gridSpan w:val="2"/>
            <w:vAlign w:val="center"/>
          </w:tcPr>
          <w:p>
            <w:pPr>
              <w:jc w:val="center"/>
              <w:rPr>
                <w:rFonts w:ascii="宋体" w:hAnsi="宋体"/>
                <w:sz w:val="24"/>
              </w:rPr>
            </w:pPr>
          </w:p>
        </w:tc>
        <w:tc>
          <w:tcPr>
            <w:tcW w:w="763"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gridSpan w:val="2"/>
            <w:vAlign w:val="center"/>
          </w:tcPr>
          <w:p>
            <w:pPr>
              <w:jc w:val="center"/>
              <w:rPr>
                <w:rFonts w:ascii="宋体" w:hAnsi="宋体"/>
                <w:sz w:val="24"/>
              </w:rPr>
            </w:pPr>
          </w:p>
        </w:tc>
        <w:tc>
          <w:tcPr>
            <w:tcW w:w="764" w:type="dxa"/>
            <w:vAlign w:val="center"/>
          </w:tcPr>
          <w:p>
            <w:pPr>
              <w:jc w:val="center"/>
              <w:rPr>
                <w:rFonts w:ascii="宋体" w:hAnsi="宋体"/>
                <w:sz w:val="24"/>
              </w:rPr>
            </w:pPr>
          </w:p>
        </w:tc>
        <w:tc>
          <w:tcPr>
            <w:tcW w:w="783"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exact"/>
          <w:jc w:val="center"/>
        </w:trPr>
        <w:tc>
          <w:tcPr>
            <w:tcW w:w="821" w:type="dxa"/>
            <w:vMerge w:val="continue"/>
            <w:vAlign w:val="center"/>
          </w:tcPr>
          <w:p>
            <w:pPr>
              <w:jc w:val="center"/>
              <w:rPr>
                <w:rFonts w:ascii="宋体" w:hAnsi="宋体"/>
                <w:sz w:val="24"/>
              </w:rPr>
            </w:pPr>
          </w:p>
        </w:tc>
        <w:tc>
          <w:tcPr>
            <w:tcW w:w="715" w:type="dxa"/>
            <w:vAlign w:val="center"/>
          </w:tcPr>
          <w:p>
            <w:pPr>
              <w:jc w:val="center"/>
              <w:rPr>
                <w:rFonts w:ascii="宋体" w:hAnsi="宋体"/>
                <w:sz w:val="24"/>
              </w:rPr>
            </w:pPr>
          </w:p>
        </w:tc>
        <w:tc>
          <w:tcPr>
            <w:tcW w:w="1507" w:type="dxa"/>
            <w:gridSpan w:val="2"/>
            <w:vAlign w:val="center"/>
          </w:tcPr>
          <w:p>
            <w:pPr>
              <w:jc w:val="center"/>
              <w:rPr>
                <w:rFonts w:ascii="宋体" w:hAnsi="宋体"/>
                <w:sz w:val="24"/>
              </w:rPr>
            </w:pPr>
          </w:p>
        </w:tc>
        <w:tc>
          <w:tcPr>
            <w:tcW w:w="763"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gridSpan w:val="2"/>
            <w:vAlign w:val="center"/>
          </w:tcPr>
          <w:p>
            <w:pPr>
              <w:jc w:val="center"/>
              <w:rPr>
                <w:rFonts w:ascii="宋体" w:hAnsi="宋体"/>
                <w:sz w:val="24"/>
              </w:rPr>
            </w:pPr>
          </w:p>
        </w:tc>
        <w:tc>
          <w:tcPr>
            <w:tcW w:w="764" w:type="dxa"/>
            <w:vAlign w:val="center"/>
          </w:tcPr>
          <w:p>
            <w:pPr>
              <w:jc w:val="center"/>
              <w:rPr>
                <w:rFonts w:ascii="宋体" w:hAnsi="宋体"/>
                <w:sz w:val="24"/>
              </w:rPr>
            </w:pPr>
          </w:p>
        </w:tc>
        <w:tc>
          <w:tcPr>
            <w:tcW w:w="783"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exact"/>
          <w:jc w:val="center"/>
        </w:trPr>
        <w:tc>
          <w:tcPr>
            <w:tcW w:w="821" w:type="dxa"/>
            <w:vMerge w:val="continue"/>
            <w:vAlign w:val="center"/>
          </w:tcPr>
          <w:p>
            <w:pPr>
              <w:jc w:val="center"/>
              <w:rPr>
                <w:rFonts w:ascii="宋体" w:hAnsi="宋体"/>
                <w:sz w:val="24"/>
              </w:rPr>
            </w:pPr>
          </w:p>
        </w:tc>
        <w:tc>
          <w:tcPr>
            <w:tcW w:w="715" w:type="dxa"/>
            <w:vAlign w:val="center"/>
          </w:tcPr>
          <w:p>
            <w:pPr>
              <w:jc w:val="center"/>
              <w:rPr>
                <w:rFonts w:ascii="宋体" w:hAnsi="宋体"/>
                <w:sz w:val="24"/>
              </w:rPr>
            </w:pPr>
          </w:p>
        </w:tc>
        <w:tc>
          <w:tcPr>
            <w:tcW w:w="1507" w:type="dxa"/>
            <w:gridSpan w:val="2"/>
            <w:vAlign w:val="center"/>
          </w:tcPr>
          <w:p>
            <w:pPr>
              <w:jc w:val="center"/>
              <w:rPr>
                <w:rFonts w:ascii="宋体" w:hAnsi="宋体"/>
                <w:sz w:val="24"/>
              </w:rPr>
            </w:pPr>
          </w:p>
        </w:tc>
        <w:tc>
          <w:tcPr>
            <w:tcW w:w="763"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gridSpan w:val="2"/>
            <w:vAlign w:val="center"/>
          </w:tcPr>
          <w:p>
            <w:pPr>
              <w:jc w:val="center"/>
              <w:rPr>
                <w:rFonts w:ascii="宋体" w:hAnsi="宋体"/>
                <w:sz w:val="24"/>
              </w:rPr>
            </w:pPr>
          </w:p>
        </w:tc>
        <w:tc>
          <w:tcPr>
            <w:tcW w:w="764" w:type="dxa"/>
            <w:vAlign w:val="center"/>
          </w:tcPr>
          <w:p>
            <w:pPr>
              <w:jc w:val="center"/>
              <w:rPr>
                <w:rFonts w:ascii="宋体" w:hAnsi="宋体"/>
                <w:sz w:val="24"/>
              </w:rPr>
            </w:pPr>
          </w:p>
        </w:tc>
        <w:tc>
          <w:tcPr>
            <w:tcW w:w="783"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exact"/>
          <w:jc w:val="center"/>
        </w:trPr>
        <w:tc>
          <w:tcPr>
            <w:tcW w:w="821" w:type="dxa"/>
            <w:vMerge w:val="continue"/>
            <w:vAlign w:val="center"/>
          </w:tcPr>
          <w:p>
            <w:pPr>
              <w:jc w:val="center"/>
              <w:rPr>
                <w:rFonts w:ascii="宋体" w:hAnsi="宋体"/>
                <w:sz w:val="24"/>
              </w:rPr>
            </w:pPr>
          </w:p>
        </w:tc>
        <w:tc>
          <w:tcPr>
            <w:tcW w:w="715" w:type="dxa"/>
            <w:vAlign w:val="center"/>
          </w:tcPr>
          <w:p>
            <w:pPr>
              <w:jc w:val="center"/>
              <w:rPr>
                <w:rFonts w:ascii="宋体" w:hAnsi="宋体"/>
                <w:sz w:val="24"/>
              </w:rPr>
            </w:pPr>
          </w:p>
        </w:tc>
        <w:tc>
          <w:tcPr>
            <w:tcW w:w="1507" w:type="dxa"/>
            <w:gridSpan w:val="2"/>
            <w:vAlign w:val="center"/>
          </w:tcPr>
          <w:p>
            <w:pPr>
              <w:jc w:val="center"/>
              <w:rPr>
                <w:rFonts w:ascii="宋体" w:hAnsi="宋体"/>
                <w:sz w:val="24"/>
              </w:rPr>
            </w:pPr>
          </w:p>
        </w:tc>
        <w:tc>
          <w:tcPr>
            <w:tcW w:w="763"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gridSpan w:val="2"/>
            <w:vAlign w:val="center"/>
          </w:tcPr>
          <w:p>
            <w:pPr>
              <w:jc w:val="center"/>
              <w:rPr>
                <w:rFonts w:ascii="宋体" w:hAnsi="宋体"/>
                <w:sz w:val="24"/>
              </w:rPr>
            </w:pPr>
          </w:p>
        </w:tc>
        <w:tc>
          <w:tcPr>
            <w:tcW w:w="764" w:type="dxa"/>
            <w:vAlign w:val="center"/>
          </w:tcPr>
          <w:p>
            <w:pPr>
              <w:jc w:val="center"/>
              <w:rPr>
                <w:rFonts w:ascii="宋体" w:hAnsi="宋体"/>
                <w:sz w:val="24"/>
              </w:rPr>
            </w:pPr>
          </w:p>
        </w:tc>
        <w:tc>
          <w:tcPr>
            <w:tcW w:w="783"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exact"/>
          <w:jc w:val="center"/>
        </w:trPr>
        <w:tc>
          <w:tcPr>
            <w:tcW w:w="821" w:type="dxa"/>
            <w:vMerge w:val="continue"/>
            <w:vAlign w:val="center"/>
          </w:tcPr>
          <w:p>
            <w:pPr>
              <w:jc w:val="center"/>
              <w:rPr>
                <w:rFonts w:ascii="宋体" w:hAnsi="宋体"/>
                <w:sz w:val="24"/>
              </w:rPr>
            </w:pPr>
          </w:p>
        </w:tc>
        <w:tc>
          <w:tcPr>
            <w:tcW w:w="715" w:type="dxa"/>
            <w:vAlign w:val="center"/>
          </w:tcPr>
          <w:p>
            <w:pPr>
              <w:jc w:val="center"/>
              <w:rPr>
                <w:rFonts w:ascii="宋体" w:hAnsi="宋体"/>
                <w:sz w:val="24"/>
              </w:rPr>
            </w:pPr>
          </w:p>
        </w:tc>
        <w:tc>
          <w:tcPr>
            <w:tcW w:w="1507" w:type="dxa"/>
            <w:gridSpan w:val="2"/>
            <w:vAlign w:val="center"/>
          </w:tcPr>
          <w:p>
            <w:pPr>
              <w:jc w:val="center"/>
              <w:rPr>
                <w:rFonts w:ascii="宋体" w:hAnsi="宋体"/>
                <w:sz w:val="24"/>
              </w:rPr>
            </w:pPr>
          </w:p>
        </w:tc>
        <w:tc>
          <w:tcPr>
            <w:tcW w:w="763"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gridSpan w:val="2"/>
            <w:vAlign w:val="center"/>
          </w:tcPr>
          <w:p>
            <w:pPr>
              <w:jc w:val="center"/>
              <w:rPr>
                <w:rFonts w:ascii="宋体" w:hAnsi="宋体"/>
                <w:sz w:val="24"/>
              </w:rPr>
            </w:pPr>
          </w:p>
        </w:tc>
        <w:tc>
          <w:tcPr>
            <w:tcW w:w="764" w:type="dxa"/>
            <w:vAlign w:val="center"/>
          </w:tcPr>
          <w:p>
            <w:pPr>
              <w:jc w:val="center"/>
              <w:rPr>
                <w:rFonts w:ascii="宋体" w:hAnsi="宋体"/>
                <w:sz w:val="24"/>
              </w:rPr>
            </w:pPr>
          </w:p>
        </w:tc>
        <w:tc>
          <w:tcPr>
            <w:tcW w:w="783"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4" w:type="dxa"/>
            <w:vAlign w:val="center"/>
          </w:tcPr>
          <w:p>
            <w:pPr>
              <w:jc w:val="center"/>
              <w:rPr>
                <w:rFonts w:ascii="宋体" w:hAnsi="宋体"/>
                <w:sz w:val="24"/>
              </w:rPr>
            </w:pPr>
          </w:p>
        </w:tc>
        <w:tc>
          <w:tcPr>
            <w:tcW w:w="76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6" w:hRule="atLeast"/>
          <w:jc w:val="center"/>
        </w:trPr>
        <w:tc>
          <w:tcPr>
            <w:tcW w:w="821" w:type="dxa"/>
            <w:vAlign w:val="center"/>
          </w:tcPr>
          <w:p>
            <w:pPr>
              <w:jc w:val="center"/>
              <w:rPr>
                <w:rFonts w:ascii="宋体" w:hAnsi="宋体"/>
                <w:sz w:val="24"/>
              </w:rPr>
            </w:pPr>
            <w:r>
              <w:rPr>
                <w:rFonts w:hint="eastAsia" w:ascii="宋体" w:hAnsi="宋体"/>
                <w:sz w:val="24"/>
              </w:rPr>
              <w:t>备注</w:t>
            </w:r>
          </w:p>
        </w:tc>
        <w:tc>
          <w:tcPr>
            <w:tcW w:w="9120" w:type="dxa"/>
            <w:gridSpan w:val="13"/>
            <w:vAlign w:val="center"/>
          </w:tcPr>
          <w:p>
            <w:pPr>
              <w:rPr>
                <w:rFonts w:ascii="宋体" w:hAnsi="宋体"/>
                <w:sz w:val="24"/>
              </w:rPr>
            </w:pPr>
          </w:p>
        </w:tc>
      </w:tr>
    </w:tbl>
    <w:p>
      <w:pPr>
        <w:pStyle w:val="2"/>
        <w:spacing w:before="240" w:after="360"/>
      </w:pPr>
      <w:r>
        <w:br w:type="page"/>
      </w:r>
      <w:bookmarkStart w:id="42" w:name="_Toc43819485"/>
      <w:bookmarkStart w:id="43" w:name="_Toc43819630"/>
      <w:r>
        <w:rPr>
          <w:rFonts w:hint="eastAsia"/>
        </w:rPr>
        <w:t>附录</w:t>
      </w:r>
      <w:r>
        <w:t>B</w:t>
      </w:r>
      <w:r>
        <w:rPr>
          <w:rFonts w:hint="eastAsia"/>
        </w:rPr>
        <w:t xml:space="preserve"> 接地电阻检测记录表</w:t>
      </w:r>
      <w:bookmarkEnd w:id="42"/>
      <w:bookmarkEnd w:id="43"/>
    </w:p>
    <w:p>
      <w:pPr>
        <w:spacing w:beforeLines="50" w:afterLines="50" w:line="440" w:lineRule="exact"/>
        <w:rPr>
          <w:sz w:val="24"/>
          <w:szCs w:val="24"/>
        </w:rPr>
      </w:pPr>
      <w:r>
        <w:rPr>
          <w:rFonts w:hint="eastAsia"/>
          <w:b/>
          <w:sz w:val="24"/>
          <w:szCs w:val="24"/>
        </w:rPr>
        <w:t xml:space="preserve">B.0.1  </w:t>
      </w:r>
      <w:r>
        <w:rPr>
          <w:rFonts w:hint="eastAsia"/>
          <w:sz w:val="24"/>
          <w:szCs w:val="24"/>
        </w:rPr>
        <w:t>进行接地电阻检测时，可按表B.0.1填写检测结果。</w:t>
      </w:r>
    </w:p>
    <w:p>
      <w:pPr>
        <w:spacing w:beforeLines="50" w:afterLines="50"/>
        <w:jc w:val="center"/>
        <w:rPr>
          <w:b/>
          <w:sz w:val="24"/>
          <w:szCs w:val="24"/>
        </w:rPr>
      </w:pPr>
      <w:r>
        <w:rPr>
          <w:rFonts w:hint="eastAsia"/>
          <w:b/>
          <w:sz w:val="24"/>
          <w:szCs w:val="24"/>
        </w:rPr>
        <w:t>表B.0.1  接地电阻检测记录表</w:t>
      </w:r>
    </w:p>
    <w:tbl>
      <w:tblPr>
        <w:tblStyle w:val="36"/>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1558"/>
        <w:gridCol w:w="1384"/>
        <w:gridCol w:w="1451"/>
        <w:gridCol w:w="1196"/>
        <w:gridCol w:w="121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spacing w:line="360" w:lineRule="auto"/>
              <w:jc w:val="center"/>
              <w:rPr>
                <w:bCs/>
                <w:kern w:val="44"/>
                <w:sz w:val="24"/>
                <w:szCs w:val="24"/>
              </w:rPr>
            </w:pPr>
            <w:r>
              <w:rPr>
                <w:rFonts w:hint="eastAsia"/>
                <w:bCs/>
                <w:kern w:val="44"/>
                <w:sz w:val="24"/>
                <w:szCs w:val="24"/>
              </w:rPr>
              <w:t>工程名称</w:t>
            </w:r>
          </w:p>
        </w:tc>
        <w:tc>
          <w:tcPr>
            <w:tcW w:w="2942" w:type="dxa"/>
            <w:gridSpan w:val="2"/>
            <w:vAlign w:val="center"/>
          </w:tcPr>
          <w:p>
            <w:pPr>
              <w:spacing w:line="360" w:lineRule="auto"/>
              <w:jc w:val="center"/>
              <w:rPr>
                <w:bCs/>
                <w:kern w:val="44"/>
                <w:sz w:val="24"/>
                <w:szCs w:val="24"/>
              </w:rPr>
            </w:pPr>
          </w:p>
        </w:tc>
        <w:tc>
          <w:tcPr>
            <w:tcW w:w="2647" w:type="dxa"/>
            <w:gridSpan w:val="2"/>
            <w:vAlign w:val="center"/>
          </w:tcPr>
          <w:p>
            <w:pPr>
              <w:spacing w:line="360" w:lineRule="auto"/>
              <w:jc w:val="center"/>
              <w:rPr>
                <w:bCs/>
                <w:kern w:val="44"/>
                <w:sz w:val="24"/>
                <w:szCs w:val="24"/>
              </w:rPr>
            </w:pPr>
            <w:r>
              <w:rPr>
                <w:rFonts w:hint="eastAsia"/>
                <w:bCs/>
                <w:kern w:val="44"/>
                <w:sz w:val="24"/>
                <w:szCs w:val="24"/>
              </w:rPr>
              <w:t>建设单位</w:t>
            </w:r>
          </w:p>
        </w:tc>
        <w:tc>
          <w:tcPr>
            <w:tcW w:w="2285" w:type="dxa"/>
            <w:gridSpan w:val="2"/>
            <w:vAlign w:val="center"/>
          </w:tcPr>
          <w:p>
            <w:pPr>
              <w:spacing w:line="360" w:lineRule="auto"/>
              <w:jc w:val="center"/>
              <w:rPr>
                <w:bCs/>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spacing w:line="360" w:lineRule="auto"/>
              <w:jc w:val="center"/>
              <w:rPr>
                <w:bCs/>
                <w:kern w:val="44"/>
                <w:sz w:val="24"/>
                <w:szCs w:val="24"/>
              </w:rPr>
            </w:pPr>
            <w:r>
              <w:rPr>
                <w:rFonts w:hint="eastAsia"/>
                <w:bCs/>
                <w:kern w:val="44"/>
                <w:sz w:val="24"/>
                <w:szCs w:val="24"/>
              </w:rPr>
              <w:t>仪表型号</w:t>
            </w:r>
          </w:p>
        </w:tc>
        <w:tc>
          <w:tcPr>
            <w:tcW w:w="2942" w:type="dxa"/>
            <w:gridSpan w:val="2"/>
            <w:vAlign w:val="center"/>
          </w:tcPr>
          <w:p>
            <w:pPr>
              <w:spacing w:line="360" w:lineRule="auto"/>
              <w:jc w:val="center"/>
              <w:rPr>
                <w:bCs/>
                <w:kern w:val="44"/>
                <w:sz w:val="24"/>
                <w:szCs w:val="24"/>
              </w:rPr>
            </w:pPr>
          </w:p>
        </w:tc>
        <w:tc>
          <w:tcPr>
            <w:tcW w:w="2647" w:type="dxa"/>
            <w:gridSpan w:val="2"/>
            <w:vAlign w:val="center"/>
          </w:tcPr>
          <w:p>
            <w:pPr>
              <w:spacing w:line="360" w:lineRule="auto"/>
              <w:jc w:val="center"/>
              <w:rPr>
                <w:bCs/>
                <w:kern w:val="44"/>
                <w:sz w:val="24"/>
                <w:szCs w:val="24"/>
              </w:rPr>
            </w:pPr>
            <w:r>
              <w:rPr>
                <w:rFonts w:hint="eastAsia"/>
                <w:bCs/>
                <w:kern w:val="44"/>
                <w:sz w:val="24"/>
                <w:szCs w:val="24"/>
              </w:rPr>
              <w:t>施工单位</w:t>
            </w:r>
          </w:p>
        </w:tc>
        <w:tc>
          <w:tcPr>
            <w:tcW w:w="2285" w:type="dxa"/>
            <w:gridSpan w:val="2"/>
            <w:vAlign w:val="center"/>
          </w:tcPr>
          <w:p>
            <w:pPr>
              <w:spacing w:line="360" w:lineRule="auto"/>
              <w:jc w:val="center"/>
              <w:rPr>
                <w:bCs/>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spacing w:line="360" w:lineRule="auto"/>
              <w:jc w:val="center"/>
              <w:rPr>
                <w:bCs/>
                <w:kern w:val="44"/>
                <w:sz w:val="24"/>
                <w:szCs w:val="24"/>
              </w:rPr>
            </w:pPr>
            <w:r>
              <w:rPr>
                <w:rFonts w:hint="eastAsia"/>
                <w:bCs/>
                <w:kern w:val="44"/>
                <w:sz w:val="24"/>
                <w:szCs w:val="24"/>
              </w:rPr>
              <w:t>天气/温度</w:t>
            </w:r>
          </w:p>
        </w:tc>
        <w:tc>
          <w:tcPr>
            <w:tcW w:w="2942" w:type="dxa"/>
            <w:gridSpan w:val="2"/>
            <w:vAlign w:val="center"/>
          </w:tcPr>
          <w:p>
            <w:pPr>
              <w:spacing w:line="360" w:lineRule="auto"/>
              <w:jc w:val="center"/>
              <w:rPr>
                <w:bCs/>
                <w:kern w:val="44"/>
                <w:sz w:val="24"/>
                <w:szCs w:val="24"/>
              </w:rPr>
            </w:pPr>
          </w:p>
        </w:tc>
        <w:tc>
          <w:tcPr>
            <w:tcW w:w="2647" w:type="dxa"/>
            <w:gridSpan w:val="2"/>
            <w:vAlign w:val="center"/>
          </w:tcPr>
          <w:p>
            <w:pPr>
              <w:spacing w:line="360" w:lineRule="auto"/>
              <w:jc w:val="center"/>
              <w:rPr>
                <w:bCs/>
                <w:kern w:val="44"/>
                <w:sz w:val="24"/>
                <w:szCs w:val="24"/>
              </w:rPr>
            </w:pPr>
            <w:r>
              <w:rPr>
                <w:rFonts w:hint="eastAsia"/>
                <w:bCs/>
                <w:kern w:val="44"/>
                <w:sz w:val="24"/>
                <w:szCs w:val="24"/>
              </w:rPr>
              <w:t>仪表型号</w:t>
            </w:r>
          </w:p>
        </w:tc>
        <w:tc>
          <w:tcPr>
            <w:tcW w:w="2285" w:type="dxa"/>
            <w:gridSpan w:val="2"/>
            <w:vAlign w:val="center"/>
          </w:tcPr>
          <w:p>
            <w:pPr>
              <w:spacing w:line="360" w:lineRule="auto"/>
              <w:jc w:val="center"/>
              <w:rPr>
                <w:bCs/>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spacing w:line="360" w:lineRule="auto"/>
              <w:jc w:val="center"/>
              <w:rPr>
                <w:bCs/>
                <w:kern w:val="44"/>
                <w:szCs w:val="21"/>
              </w:rPr>
            </w:pPr>
            <w:r>
              <w:rPr>
                <w:rFonts w:hint="eastAsia"/>
                <w:bCs/>
                <w:kern w:val="44"/>
                <w:szCs w:val="21"/>
              </w:rPr>
              <w:t>测试电极接触介质</w:t>
            </w:r>
          </w:p>
        </w:tc>
        <w:tc>
          <w:tcPr>
            <w:tcW w:w="2942" w:type="dxa"/>
            <w:gridSpan w:val="2"/>
            <w:vAlign w:val="center"/>
          </w:tcPr>
          <w:p>
            <w:pPr>
              <w:spacing w:line="360" w:lineRule="auto"/>
              <w:jc w:val="center"/>
              <w:rPr>
                <w:bCs/>
                <w:kern w:val="44"/>
                <w:sz w:val="24"/>
                <w:szCs w:val="24"/>
              </w:rPr>
            </w:pPr>
          </w:p>
        </w:tc>
        <w:tc>
          <w:tcPr>
            <w:tcW w:w="2647" w:type="dxa"/>
            <w:gridSpan w:val="2"/>
            <w:vAlign w:val="center"/>
          </w:tcPr>
          <w:p>
            <w:pPr>
              <w:spacing w:line="360" w:lineRule="auto"/>
              <w:jc w:val="center"/>
              <w:rPr>
                <w:bCs/>
                <w:kern w:val="44"/>
                <w:sz w:val="24"/>
                <w:szCs w:val="24"/>
              </w:rPr>
            </w:pPr>
            <w:r>
              <w:rPr>
                <w:rFonts w:hint="eastAsia"/>
                <w:bCs/>
                <w:kern w:val="44"/>
                <w:sz w:val="24"/>
                <w:szCs w:val="24"/>
              </w:rPr>
              <w:t>天气/温度/湿度</w:t>
            </w:r>
          </w:p>
        </w:tc>
        <w:tc>
          <w:tcPr>
            <w:tcW w:w="2285" w:type="dxa"/>
            <w:gridSpan w:val="2"/>
            <w:vAlign w:val="center"/>
          </w:tcPr>
          <w:p>
            <w:pPr>
              <w:spacing w:line="360" w:lineRule="auto"/>
              <w:jc w:val="center"/>
              <w:rPr>
                <w:bCs/>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spacing w:line="360" w:lineRule="auto"/>
              <w:jc w:val="center"/>
              <w:rPr>
                <w:bCs/>
                <w:kern w:val="44"/>
                <w:sz w:val="24"/>
                <w:szCs w:val="24"/>
              </w:rPr>
            </w:pPr>
            <w:r>
              <w:rPr>
                <w:rFonts w:hint="eastAsia"/>
                <w:bCs/>
                <w:kern w:val="44"/>
                <w:sz w:val="24"/>
                <w:szCs w:val="24"/>
              </w:rPr>
              <w:t>检测部位</w:t>
            </w:r>
          </w:p>
        </w:tc>
        <w:tc>
          <w:tcPr>
            <w:tcW w:w="7874" w:type="dxa"/>
            <w:gridSpan w:val="6"/>
            <w:vAlign w:val="center"/>
          </w:tcPr>
          <w:p>
            <w:pPr>
              <w:spacing w:line="360" w:lineRule="auto"/>
              <w:jc w:val="center"/>
              <w:rPr>
                <w:bCs/>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spacing w:line="360" w:lineRule="auto"/>
              <w:jc w:val="center"/>
              <w:rPr>
                <w:bCs/>
                <w:kern w:val="44"/>
                <w:szCs w:val="21"/>
              </w:rPr>
            </w:pPr>
            <w:r>
              <w:rPr>
                <w:rFonts w:hint="eastAsia"/>
                <w:bCs/>
                <w:kern w:val="44"/>
                <w:szCs w:val="21"/>
              </w:rPr>
              <w:t>接地类别</w:t>
            </w:r>
          </w:p>
        </w:tc>
        <w:tc>
          <w:tcPr>
            <w:tcW w:w="1558" w:type="dxa"/>
            <w:vAlign w:val="center"/>
          </w:tcPr>
          <w:p>
            <w:pPr>
              <w:spacing w:line="360" w:lineRule="auto"/>
              <w:jc w:val="center"/>
              <w:rPr>
                <w:bCs/>
                <w:kern w:val="44"/>
                <w:sz w:val="24"/>
                <w:szCs w:val="24"/>
              </w:rPr>
            </w:pPr>
            <w:r>
              <w:rPr>
                <w:rFonts w:hint="eastAsia"/>
                <w:bCs/>
                <w:kern w:val="44"/>
                <w:sz w:val="24"/>
                <w:szCs w:val="24"/>
              </w:rPr>
              <w:t>设计值（Ω）</w:t>
            </w:r>
          </w:p>
        </w:tc>
        <w:tc>
          <w:tcPr>
            <w:tcW w:w="1384" w:type="dxa"/>
            <w:vAlign w:val="center"/>
          </w:tcPr>
          <w:p>
            <w:pPr>
              <w:spacing w:line="360" w:lineRule="auto"/>
              <w:jc w:val="center"/>
              <w:rPr>
                <w:bCs/>
                <w:kern w:val="44"/>
                <w:sz w:val="24"/>
                <w:szCs w:val="24"/>
              </w:rPr>
            </w:pPr>
            <w:r>
              <w:rPr>
                <w:rFonts w:hint="eastAsia"/>
                <w:bCs/>
                <w:kern w:val="44"/>
                <w:sz w:val="24"/>
                <w:szCs w:val="24"/>
              </w:rPr>
              <w:t>测点轴线位置</w:t>
            </w:r>
          </w:p>
        </w:tc>
        <w:tc>
          <w:tcPr>
            <w:tcW w:w="1451" w:type="dxa"/>
            <w:vAlign w:val="center"/>
          </w:tcPr>
          <w:p>
            <w:pPr>
              <w:spacing w:line="360" w:lineRule="auto"/>
              <w:jc w:val="center"/>
              <w:rPr>
                <w:bCs/>
                <w:kern w:val="44"/>
                <w:sz w:val="24"/>
                <w:szCs w:val="24"/>
              </w:rPr>
            </w:pPr>
            <w:r>
              <w:rPr>
                <w:rFonts w:hint="eastAsia"/>
                <w:bCs/>
                <w:kern w:val="44"/>
                <w:sz w:val="24"/>
                <w:szCs w:val="24"/>
              </w:rPr>
              <w:t>实测值</w:t>
            </w:r>
          </w:p>
        </w:tc>
        <w:tc>
          <w:tcPr>
            <w:tcW w:w="1196" w:type="dxa"/>
            <w:vAlign w:val="center"/>
          </w:tcPr>
          <w:p>
            <w:pPr>
              <w:spacing w:line="360" w:lineRule="auto"/>
              <w:jc w:val="center"/>
              <w:rPr>
                <w:bCs/>
                <w:kern w:val="44"/>
                <w:sz w:val="24"/>
                <w:szCs w:val="24"/>
              </w:rPr>
            </w:pPr>
            <w:r>
              <w:rPr>
                <w:rFonts w:hint="eastAsia"/>
                <w:bCs/>
                <w:kern w:val="44"/>
                <w:sz w:val="24"/>
                <w:szCs w:val="24"/>
              </w:rPr>
              <w:t>倍率标度</w:t>
            </w:r>
          </w:p>
        </w:tc>
        <w:tc>
          <w:tcPr>
            <w:tcW w:w="1214" w:type="dxa"/>
            <w:vAlign w:val="center"/>
          </w:tcPr>
          <w:p>
            <w:pPr>
              <w:spacing w:line="360" w:lineRule="auto"/>
              <w:jc w:val="center"/>
              <w:rPr>
                <w:bCs/>
                <w:kern w:val="44"/>
                <w:sz w:val="24"/>
                <w:szCs w:val="24"/>
              </w:rPr>
            </w:pPr>
            <w:r>
              <w:rPr>
                <w:rFonts w:hint="eastAsia"/>
                <w:bCs/>
                <w:kern w:val="44"/>
                <w:sz w:val="24"/>
                <w:szCs w:val="24"/>
              </w:rPr>
              <w:t>检测结果（Ω）</w:t>
            </w:r>
          </w:p>
        </w:tc>
        <w:tc>
          <w:tcPr>
            <w:tcW w:w="1071" w:type="dxa"/>
            <w:vAlign w:val="center"/>
          </w:tcPr>
          <w:p>
            <w:pPr>
              <w:spacing w:line="360" w:lineRule="auto"/>
              <w:jc w:val="center"/>
              <w:rPr>
                <w:bCs/>
                <w:kern w:val="44"/>
                <w:sz w:val="24"/>
                <w:szCs w:val="24"/>
              </w:rPr>
            </w:pPr>
            <w:r>
              <w:rPr>
                <w:rFonts w:hint="eastAsia"/>
                <w:bCs/>
                <w:kern w:val="44"/>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spacing w:line="360" w:lineRule="auto"/>
              <w:jc w:val="center"/>
              <w:rPr>
                <w:bCs/>
                <w:kern w:val="44"/>
                <w:szCs w:val="21"/>
              </w:rPr>
            </w:pPr>
          </w:p>
        </w:tc>
        <w:tc>
          <w:tcPr>
            <w:tcW w:w="1558" w:type="dxa"/>
            <w:vAlign w:val="center"/>
          </w:tcPr>
          <w:p>
            <w:pPr>
              <w:spacing w:line="360" w:lineRule="auto"/>
              <w:jc w:val="center"/>
              <w:rPr>
                <w:bCs/>
                <w:kern w:val="44"/>
                <w:sz w:val="24"/>
                <w:szCs w:val="24"/>
              </w:rPr>
            </w:pPr>
          </w:p>
        </w:tc>
        <w:tc>
          <w:tcPr>
            <w:tcW w:w="1384" w:type="dxa"/>
            <w:vAlign w:val="center"/>
          </w:tcPr>
          <w:p>
            <w:pPr>
              <w:spacing w:line="360" w:lineRule="auto"/>
              <w:jc w:val="center"/>
              <w:rPr>
                <w:bCs/>
                <w:kern w:val="44"/>
                <w:sz w:val="24"/>
                <w:szCs w:val="24"/>
              </w:rPr>
            </w:pPr>
          </w:p>
        </w:tc>
        <w:tc>
          <w:tcPr>
            <w:tcW w:w="1451" w:type="dxa"/>
            <w:vAlign w:val="center"/>
          </w:tcPr>
          <w:p>
            <w:pPr>
              <w:spacing w:line="360" w:lineRule="auto"/>
              <w:jc w:val="center"/>
              <w:rPr>
                <w:bCs/>
                <w:kern w:val="44"/>
                <w:sz w:val="24"/>
                <w:szCs w:val="24"/>
              </w:rPr>
            </w:pPr>
          </w:p>
        </w:tc>
        <w:tc>
          <w:tcPr>
            <w:tcW w:w="1196" w:type="dxa"/>
            <w:vAlign w:val="center"/>
          </w:tcPr>
          <w:p>
            <w:pPr>
              <w:spacing w:line="360" w:lineRule="auto"/>
              <w:jc w:val="center"/>
              <w:rPr>
                <w:bCs/>
                <w:kern w:val="44"/>
                <w:sz w:val="24"/>
                <w:szCs w:val="24"/>
              </w:rPr>
            </w:pPr>
          </w:p>
        </w:tc>
        <w:tc>
          <w:tcPr>
            <w:tcW w:w="1214" w:type="dxa"/>
            <w:vAlign w:val="center"/>
          </w:tcPr>
          <w:p>
            <w:pPr>
              <w:spacing w:line="360" w:lineRule="auto"/>
              <w:jc w:val="center"/>
              <w:rPr>
                <w:bCs/>
                <w:kern w:val="44"/>
                <w:sz w:val="24"/>
                <w:szCs w:val="24"/>
              </w:rPr>
            </w:pPr>
          </w:p>
        </w:tc>
        <w:tc>
          <w:tcPr>
            <w:tcW w:w="1071" w:type="dxa"/>
            <w:vAlign w:val="center"/>
          </w:tcPr>
          <w:p>
            <w:pPr>
              <w:spacing w:line="360" w:lineRule="auto"/>
              <w:jc w:val="center"/>
              <w:rPr>
                <w:bCs/>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spacing w:line="360" w:lineRule="auto"/>
              <w:jc w:val="center"/>
              <w:rPr>
                <w:bCs/>
                <w:kern w:val="44"/>
                <w:szCs w:val="21"/>
              </w:rPr>
            </w:pPr>
          </w:p>
        </w:tc>
        <w:tc>
          <w:tcPr>
            <w:tcW w:w="1558" w:type="dxa"/>
            <w:vAlign w:val="center"/>
          </w:tcPr>
          <w:p>
            <w:pPr>
              <w:spacing w:line="360" w:lineRule="auto"/>
              <w:jc w:val="center"/>
              <w:rPr>
                <w:bCs/>
                <w:kern w:val="44"/>
                <w:sz w:val="24"/>
                <w:szCs w:val="24"/>
              </w:rPr>
            </w:pPr>
          </w:p>
        </w:tc>
        <w:tc>
          <w:tcPr>
            <w:tcW w:w="1384" w:type="dxa"/>
            <w:vAlign w:val="center"/>
          </w:tcPr>
          <w:p>
            <w:pPr>
              <w:spacing w:line="360" w:lineRule="auto"/>
              <w:jc w:val="center"/>
              <w:rPr>
                <w:bCs/>
                <w:kern w:val="44"/>
                <w:sz w:val="24"/>
                <w:szCs w:val="24"/>
              </w:rPr>
            </w:pPr>
          </w:p>
        </w:tc>
        <w:tc>
          <w:tcPr>
            <w:tcW w:w="1451" w:type="dxa"/>
            <w:vAlign w:val="center"/>
          </w:tcPr>
          <w:p>
            <w:pPr>
              <w:spacing w:line="360" w:lineRule="auto"/>
              <w:jc w:val="center"/>
              <w:rPr>
                <w:bCs/>
                <w:kern w:val="44"/>
                <w:sz w:val="24"/>
                <w:szCs w:val="24"/>
              </w:rPr>
            </w:pPr>
          </w:p>
        </w:tc>
        <w:tc>
          <w:tcPr>
            <w:tcW w:w="1196" w:type="dxa"/>
            <w:vAlign w:val="center"/>
          </w:tcPr>
          <w:p>
            <w:pPr>
              <w:spacing w:line="360" w:lineRule="auto"/>
              <w:jc w:val="center"/>
              <w:rPr>
                <w:bCs/>
                <w:kern w:val="44"/>
                <w:sz w:val="24"/>
                <w:szCs w:val="24"/>
              </w:rPr>
            </w:pPr>
          </w:p>
        </w:tc>
        <w:tc>
          <w:tcPr>
            <w:tcW w:w="1214" w:type="dxa"/>
            <w:vAlign w:val="center"/>
          </w:tcPr>
          <w:p>
            <w:pPr>
              <w:spacing w:line="360" w:lineRule="auto"/>
              <w:jc w:val="center"/>
              <w:rPr>
                <w:bCs/>
                <w:kern w:val="44"/>
                <w:sz w:val="24"/>
                <w:szCs w:val="24"/>
              </w:rPr>
            </w:pPr>
          </w:p>
        </w:tc>
        <w:tc>
          <w:tcPr>
            <w:tcW w:w="1071" w:type="dxa"/>
            <w:vAlign w:val="center"/>
          </w:tcPr>
          <w:p>
            <w:pPr>
              <w:spacing w:line="360" w:lineRule="auto"/>
              <w:jc w:val="center"/>
              <w:rPr>
                <w:bCs/>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spacing w:line="360" w:lineRule="auto"/>
              <w:jc w:val="center"/>
              <w:rPr>
                <w:bCs/>
                <w:kern w:val="44"/>
                <w:szCs w:val="21"/>
              </w:rPr>
            </w:pPr>
          </w:p>
        </w:tc>
        <w:tc>
          <w:tcPr>
            <w:tcW w:w="1558" w:type="dxa"/>
            <w:vAlign w:val="center"/>
          </w:tcPr>
          <w:p>
            <w:pPr>
              <w:spacing w:line="360" w:lineRule="auto"/>
              <w:jc w:val="center"/>
              <w:rPr>
                <w:bCs/>
                <w:kern w:val="44"/>
                <w:sz w:val="24"/>
                <w:szCs w:val="24"/>
              </w:rPr>
            </w:pPr>
          </w:p>
        </w:tc>
        <w:tc>
          <w:tcPr>
            <w:tcW w:w="1384" w:type="dxa"/>
            <w:vAlign w:val="center"/>
          </w:tcPr>
          <w:p>
            <w:pPr>
              <w:spacing w:line="360" w:lineRule="auto"/>
              <w:jc w:val="center"/>
              <w:rPr>
                <w:bCs/>
                <w:kern w:val="44"/>
                <w:sz w:val="24"/>
                <w:szCs w:val="24"/>
              </w:rPr>
            </w:pPr>
          </w:p>
        </w:tc>
        <w:tc>
          <w:tcPr>
            <w:tcW w:w="1451" w:type="dxa"/>
            <w:vAlign w:val="center"/>
          </w:tcPr>
          <w:p>
            <w:pPr>
              <w:spacing w:line="360" w:lineRule="auto"/>
              <w:jc w:val="center"/>
              <w:rPr>
                <w:bCs/>
                <w:kern w:val="44"/>
                <w:sz w:val="24"/>
                <w:szCs w:val="24"/>
              </w:rPr>
            </w:pPr>
          </w:p>
        </w:tc>
        <w:tc>
          <w:tcPr>
            <w:tcW w:w="1196" w:type="dxa"/>
            <w:vAlign w:val="center"/>
          </w:tcPr>
          <w:p>
            <w:pPr>
              <w:spacing w:line="360" w:lineRule="auto"/>
              <w:jc w:val="center"/>
              <w:rPr>
                <w:bCs/>
                <w:kern w:val="44"/>
                <w:sz w:val="24"/>
                <w:szCs w:val="24"/>
              </w:rPr>
            </w:pPr>
          </w:p>
        </w:tc>
        <w:tc>
          <w:tcPr>
            <w:tcW w:w="1214" w:type="dxa"/>
            <w:vAlign w:val="center"/>
          </w:tcPr>
          <w:p>
            <w:pPr>
              <w:spacing w:line="360" w:lineRule="auto"/>
              <w:jc w:val="center"/>
              <w:rPr>
                <w:bCs/>
                <w:kern w:val="44"/>
                <w:sz w:val="24"/>
                <w:szCs w:val="24"/>
              </w:rPr>
            </w:pPr>
          </w:p>
        </w:tc>
        <w:tc>
          <w:tcPr>
            <w:tcW w:w="1071" w:type="dxa"/>
            <w:vAlign w:val="center"/>
          </w:tcPr>
          <w:p>
            <w:pPr>
              <w:spacing w:line="360" w:lineRule="auto"/>
              <w:jc w:val="center"/>
              <w:rPr>
                <w:bCs/>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spacing w:line="360" w:lineRule="auto"/>
              <w:jc w:val="center"/>
              <w:rPr>
                <w:bCs/>
                <w:kern w:val="44"/>
                <w:szCs w:val="21"/>
              </w:rPr>
            </w:pPr>
          </w:p>
        </w:tc>
        <w:tc>
          <w:tcPr>
            <w:tcW w:w="1558" w:type="dxa"/>
            <w:vAlign w:val="center"/>
          </w:tcPr>
          <w:p>
            <w:pPr>
              <w:spacing w:line="360" w:lineRule="auto"/>
              <w:jc w:val="center"/>
              <w:rPr>
                <w:bCs/>
                <w:kern w:val="44"/>
                <w:sz w:val="24"/>
                <w:szCs w:val="24"/>
              </w:rPr>
            </w:pPr>
          </w:p>
        </w:tc>
        <w:tc>
          <w:tcPr>
            <w:tcW w:w="1384" w:type="dxa"/>
            <w:vAlign w:val="center"/>
          </w:tcPr>
          <w:p>
            <w:pPr>
              <w:spacing w:line="360" w:lineRule="auto"/>
              <w:jc w:val="center"/>
              <w:rPr>
                <w:bCs/>
                <w:kern w:val="44"/>
                <w:sz w:val="24"/>
                <w:szCs w:val="24"/>
              </w:rPr>
            </w:pPr>
          </w:p>
        </w:tc>
        <w:tc>
          <w:tcPr>
            <w:tcW w:w="1451" w:type="dxa"/>
            <w:vAlign w:val="center"/>
          </w:tcPr>
          <w:p>
            <w:pPr>
              <w:spacing w:line="360" w:lineRule="auto"/>
              <w:jc w:val="center"/>
              <w:rPr>
                <w:bCs/>
                <w:kern w:val="44"/>
                <w:sz w:val="24"/>
                <w:szCs w:val="24"/>
              </w:rPr>
            </w:pPr>
          </w:p>
        </w:tc>
        <w:tc>
          <w:tcPr>
            <w:tcW w:w="1196" w:type="dxa"/>
            <w:vAlign w:val="center"/>
          </w:tcPr>
          <w:p>
            <w:pPr>
              <w:spacing w:line="360" w:lineRule="auto"/>
              <w:jc w:val="center"/>
              <w:rPr>
                <w:bCs/>
                <w:kern w:val="44"/>
                <w:sz w:val="24"/>
                <w:szCs w:val="24"/>
              </w:rPr>
            </w:pPr>
          </w:p>
        </w:tc>
        <w:tc>
          <w:tcPr>
            <w:tcW w:w="1214" w:type="dxa"/>
            <w:vAlign w:val="center"/>
          </w:tcPr>
          <w:p>
            <w:pPr>
              <w:spacing w:line="360" w:lineRule="auto"/>
              <w:jc w:val="center"/>
              <w:rPr>
                <w:bCs/>
                <w:kern w:val="44"/>
                <w:sz w:val="24"/>
                <w:szCs w:val="24"/>
              </w:rPr>
            </w:pPr>
          </w:p>
        </w:tc>
        <w:tc>
          <w:tcPr>
            <w:tcW w:w="1071" w:type="dxa"/>
            <w:vAlign w:val="center"/>
          </w:tcPr>
          <w:p>
            <w:pPr>
              <w:spacing w:line="360" w:lineRule="auto"/>
              <w:jc w:val="center"/>
              <w:rPr>
                <w:bCs/>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spacing w:line="360" w:lineRule="auto"/>
              <w:jc w:val="center"/>
              <w:rPr>
                <w:bCs/>
                <w:kern w:val="44"/>
                <w:szCs w:val="21"/>
              </w:rPr>
            </w:pPr>
          </w:p>
        </w:tc>
        <w:tc>
          <w:tcPr>
            <w:tcW w:w="1558" w:type="dxa"/>
            <w:vAlign w:val="center"/>
          </w:tcPr>
          <w:p>
            <w:pPr>
              <w:spacing w:line="360" w:lineRule="auto"/>
              <w:jc w:val="center"/>
              <w:rPr>
                <w:bCs/>
                <w:kern w:val="44"/>
                <w:sz w:val="24"/>
                <w:szCs w:val="24"/>
              </w:rPr>
            </w:pPr>
          </w:p>
        </w:tc>
        <w:tc>
          <w:tcPr>
            <w:tcW w:w="1384" w:type="dxa"/>
            <w:vAlign w:val="center"/>
          </w:tcPr>
          <w:p>
            <w:pPr>
              <w:spacing w:line="360" w:lineRule="auto"/>
              <w:jc w:val="center"/>
              <w:rPr>
                <w:bCs/>
                <w:kern w:val="44"/>
                <w:sz w:val="24"/>
                <w:szCs w:val="24"/>
              </w:rPr>
            </w:pPr>
          </w:p>
        </w:tc>
        <w:tc>
          <w:tcPr>
            <w:tcW w:w="1451" w:type="dxa"/>
            <w:vAlign w:val="center"/>
          </w:tcPr>
          <w:p>
            <w:pPr>
              <w:spacing w:line="360" w:lineRule="auto"/>
              <w:jc w:val="center"/>
              <w:rPr>
                <w:bCs/>
                <w:kern w:val="44"/>
                <w:sz w:val="24"/>
                <w:szCs w:val="24"/>
              </w:rPr>
            </w:pPr>
          </w:p>
        </w:tc>
        <w:tc>
          <w:tcPr>
            <w:tcW w:w="1196" w:type="dxa"/>
            <w:vAlign w:val="center"/>
          </w:tcPr>
          <w:p>
            <w:pPr>
              <w:spacing w:line="360" w:lineRule="auto"/>
              <w:jc w:val="center"/>
              <w:rPr>
                <w:bCs/>
                <w:kern w:val="44"/>
                <w:sz w:val="24"/>
                <w:szCs w:val="24"/>
              </w:rPr>
            </w:pPr>
          </w:p>
        </w:tc>
        <w:tc>
          <w:tcPr>
            <w:tcW w:w="1214" w:type="dxa"/>
            <w:vAlign w:val="center"/>
          </w:tcPr>
          <w:p>
            <w:pPr>
              <w:spacing w:line="360" w:lineRule="auto"/>
              <w:jc w:val="center"/>
              <w:rPr>
                <w:bCs/>
                <w:kern w:val="44"/>
                <w:sz w:val="24"/>
                <w:szCs w:val="24"/>
              </w:rPr>
            </w:pPr>
          </w:p>
        </w:tc>
        <w:tc>
          <w:tcPr>
            <w:tcW w:w="1071" w:type="dxa"/>
            <w:vAlign w:val="center"/>
          </w:tcPr>
          <w:p>
            <w:pPr>
              <w:spacing w:line="360" w:lineRule="auto"/>
              <w:jc w:val="center"/>
              <w:rPr>
                <w:bCs/>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spacing w:line="360" w:lineRule="auto"/>
              <w:jc w:val="center"/>
              <w:rPr>
                <w:bCs/>
                <w:kern w:val="44"/>
                <w:szCs w:val="21"/>
              </w:rPr>
            </w:pPr>
          </w:p>
        </w:tc>
        <w:tc>
          <w:tcPr>
            <w:tcW w:w="1558" w:type="dxa"/>
            <w:vAlign w:val="center"/>
          </w:tcPr>
          <w:p>
            <w:pPr>
              <w:spacing w:line="360" w:lineRule="auto"/>
              <w:jc w:val="center"/>
              <w:rPr>
                <w:bCs/>
                <w:kern w:val="44"/>
                <w:sz w:val="24"/>
                <w:szCs w:val="24"/>
              </w:rPr>
            </w:pPr>
          </w:p>
        </w:tc>
        <w:tc>
          <w:tcPr>
            <w:tcW w:w="1384" w:type="dxa"/>
            <w:vAlign w:val="center"/>
          </w:tcPr>
          <w:p>
            <w:pPr>
              <w:spacing w:line="360" w:lineRule="auto"/>
              <w:jc w:val="center"/>
              <w:rPr>
                <w:bCs/>
                <w:kern w:val="44"/>
                <w:sz w:val="24"/>
                <w:szCs w:val="24"/>
              </w:rPr>
            </w:pPr>
          </w:p>
        </w:tc>
        <w:tc>
          <w:tcPr>
            <w:tcW w:w="1451" w:type="dxa"/>
            <w:vAlign w:val="center"/>
          </w:tcPr>
          <w:p>
            <w:pPr>
              <w:spacing w:line="360" w:lineRule="auto"/>
              <w:jc w:val="center"/>
              <w:rPr>
                <w:bCs/>
                <w:kern w:val="44"/>
                <w:sz w:val="24"/>
                <w:szCs w:val="24"/>
              </w:rPr>
            </w:pPr>
          </w:p>
        </w:tc>
        <w:tc>
          <w:tcPr>
            <w:tcW w:w="1196" w:type="dxa"/>
            <w:vAlign w:val="center"/>
          </w:tcPr>
          <w:p>
            <w:pPr>
              <w:spacing w:line="360" w:lineRule="auto"/>
              <w:jc w:val="center"/>
              <w:rPr>
                <w:bCs/>
                <w:kern w:val="44"/>
                <w:sz w:val="24"/>
                <w:szCs w:val="24"/>
              </w:rPr>
            </w:pPr>
          </w:p>
        </w:tc>
        <w:tc>
          <w:tcPr>
            <w:tcW w:w="1214" w:type="dxa"/>
            <w:vAlign w:val="center"/>
          </w:tcPr>
          <w:p>
            <w:pPr>
              <w:spacing w:line="360" w:lineRule="auto"/>
              <w:jc w:val="center"/>
              <w:rPr>
                <w:bCs/>
                <w:kern w:val="44"/>
                <w:sz w:val="24"/>
                <w:szCs w:val="24"/>
              </w:rPr>
            </w:pPr>
          </w:p>
        </w:tc>
        <w:tc>
          <w:tcPr>
            <w:tcW w:w="1071" w:type="dxa"/>
            <w:vAlign w:val="center"/>
          </w:tcPr>
          <w:p>
            <w:pPr>
              <w:spacing w:line="360" w:lineRule="auto"/>
              <w:jc w:val="center"/>
              <w:rPr>
                <w:bCs/>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spacing w:line="360" w:lineRule="auto"/>
              <w:jc w:val="center"/>
              <w:rPr>
                <w:bCs/>
                <w:kern w:val="44"/>
                <w:szCs w:val="21"/>
              </w:rPr>
            </w:pPr>
          </w:p>
        </w:tc>
        <w:tc>
          <w:tcPr>
            <w:tcW w:w="1558" w:type="dxa"/>
            <w:vAlign w:val="center"/>
          </w:tcPr>
          <w:p>
            <w:pPr>
              <w:spacing w:line="360" w:lineRule="auto"/>
              <w:jc w:val="center"/>
              <w:rPr>
                <w:bCs/>
                <w:kern w:val="44"/>
                <w:sz w:val="24"/>
                <w:szCs w:val="24"/>
              </w:rPr>
            </w:pPr>
          </w:p>
        </w:tc>
        <w:tc>
          <w:tcPr>
            <w:tcW w:w="1384" w:type="dxa"/>
            <w:vAlign w:val="center"/>
          </w:tcPr>
          <w:p>
            <w:pPr>
              <w:spacing w:line="360" w:lineRule="auto"/>
              <w:jc w:val="center"/>
              <w:rPr>
                <w:bCs/>
                <w:kern w:val="44"/>
                <w:sz w:val="24"/>
                <w:szCs w:val="24"/>
              </w:rPr>
            </w:pPr>
          </w:p>
        </w:tc>
        <w:tc>
          <w:tcPr>
            <w:tcW w:w="1451" w:type="dxa"/>
            <w:vAlign w:val="center"/>
          </w:tcPr>
          <w:p>
            <w:pPr>
              <w:spacing w:line="360" w:lineRule="auto"/>
              <w:jc w:val="center"/>
              <w:rPr>
                <w:bCs/>
                <w:kern w:val="44"/>
                <w:sz w:val="24"/>
                <w:szCs w:val="24"/>
              </w:rPr>
            </w:pPr>
          </w:p>
        </w:tc>
        <w:tc>
          <w:tcPr>
            <w:tcW w:w="1196" w:type="dxa"/>
            <w:vAlign w:val="center"/>
          </w:tcPr>
          <w:p>
            <w:pPr>
              <w:spacing w:line="360" w:lineRule="auto"/>
              <w:jc w:val="center"/>
              <w:rPr>
                <w:bCs/>
                <w:kern w:val="44"/>
                <w:sz w:val="24"/>
                <w:szCs w:val="24"/>
              </w:rPr>
            </w:pPr>
          </w:p>
        </w:tc>
        <w:tc>
          <w:tcPr>
            <w:tcW w:w="1214" w:type="dxa"/>
            <w:vAlign w:val="center"/>
          </w:tcPr>
          <w:p>
            <w:pPr>
              <w:spacing w:line="360" w:lineRule="auto"/>
              <w:jc w:val="center"/>
              <w:rPr>
                <w:bCs/>
                <w:kern w:val="44"/>
                <w:sz w:val="24"/>
                <w:szCs w:val="24"/>
              </w:rPr>
            </w:pPr>
          </w:p>
        </w:tc>
        <w:tc>
          <w:tcPr>
            <w:tcW w:w="1071" w:type="dxa"/>
            <w:vAlign w:val="center"/>
          </w:tcPr>
          <w:p>
            <w:pPr>
              <w:spacing w:line="360" w:lineRule="auto"/>
              <w:jc w:val="center"/>
              <w:rPr>
                <w:bCs/>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spacing w:line="360" w:lineRule="auto"/>
              <w:jc w:val="center"/>
              <w:rPr>
                <w:bCs/>
                <w:kern w:val="44"/>
                <w:szCs w:val="21"/>
              </w:rPr>
            </w:pPr>
          </w:p>
        </w:tc>
        <w:tc>
          <w:tcPr>
            <w:tcW w:w="1558" w:type="dxa"/>
            <w:vAlign w:val="center"/>
          </w:tcPr>
          <w:p>
            <w:pPr>
              <w:spacing w:line="360" w:lineRule="auto"/>
              <w:jc w:val="center"/>
              <w:rPr>
                <w:bCs/>
                <w:kern w:val="44"/>
                <w:sz w:val="24"/>
                <w:szCs w:val="24"/>
              </w:rPr>
            </w:pPr>
          </w:p>
        </w:tc>
        <w:tc>
          <w:tcPr>
            <w:tcW w:w="1384" w:type="dxa"/>
            <w:vAlign w:val="center"/>
          </w:tcPr>
          <w:p>
            <w:pPr>
              <w:spacing w:line="360" w:lineRule="auto"/>
              <w:jc w:val="center"/>
              <w:rPr>
                <w:bCs/>
                <w:kern w:val="44"/>
                <w:sz w:val="24"/>
                <w:szCs w:val="24"/>
              </w:rPr>
            </w:pPr>
          </w:p>
        </w:tc>
        <w:tc>
          <w:tcPr>
            <w:tcW w:w="1451" w:type="dxa"/>
            <w:vAlign w:val="center"/>
          </w:tcPr>
          <w:p>
            <w:pPr>
              <w:spacing w:line="360" w:lineRule="auto"/>
              <w:jc w:val="center"/>
              <w:rPr>
                <w:bCs/>
                <w:kern w:val="44"/>
                <w:sz w:val="24"/>
                <w:szCs w:val="24"/>
              </w:rPr>
            </w:pPr>
          </w:p>
        </w:tc>
        <w:tc>
          <w:tcPr>
            <w:tcW w:w="1196" w:type="dxa"/>
            <w:vAlign w:val="center"/>
          </w:tcPr>
          <w:p>
            <w:pPr>
              <w:spacing w:line="360" w:lineRule="auto"/>
              <w:jc w:val="center"/>
              <w:rPr>
                <w:bCs/>
                <w:kern w:val="44"/>
                <w:sz w:val="24"/>
                <w:szCs w:val="24"/>
              </w:rPr>
            </w:pPr>
          </w:p>
        </w:tc>
        <w:tc>
          <w:tcPr>
            <w:tcW w:w="1214" w:type="dxa"/>
            <w:vAlign w:val="center"/>
          </w:tcPr>
          <w:p>
            <w:pPr>
              <w:spacing w:line="360" w:lineRule="auto"/>
              <w:jc w:val="center"/>
              <w:rPr>
                <w:bCs/>
                <w:kern w:val="44"/>
                <w:sz w:val="24"/>
                <w:szCs w:val="24"/>
              </w:rPr>
            </w:pPr>
          </w:p>
        </w:tc>
        <w:tc>
          <w:tcPr>
            <w:tcW w:w="1071" w:type="dxa"/>
            <w:vAlign w:val="center"/>
          </w:tcPr>
          <w:p>
            <w:pPr>
              <w:spacing w:line="360" w:lineRule="auto"/>
              <w:jc w:val="center"/>
              <w:rPr>
                <w:bCs/>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spacing w:line="360" w:lineRule="auto"/>
              <w:jc w:val="center"/>
              <w:rPr>
                <w:bCs/>
                <w:kern w:val="44"/>
                <w:szCs w:val="21"/>
              </w:rPr>
            </w:pPr>
          </w:p>
        </w:tc>
        <w:tc>
          <w:tcPr>
            <w:tcW w:w="1558" w:type="dxa"/>
            <w:vAlign w:val="center"/>
          </w:tcPr>
          <w:p>
            <w:pPr>
              <w:spacing w:line="360" w:lineRule="auto"/>
              <w:jc w:val="center"/>
              <w:rPr>
                <w:bCs/>
                <w:kern w:val="44"/>
                <w:sz w:val="24"/>
                <w:szCs w:val="24"/>
              </w:rPr>
            </w:pPr>
          </w:p>
        </w:tc>
        <w:tc>
          <w:tcPr>
            <w:tcW w:w="1384" w:type="dxa"/>
            <w:vAlign w:val="center"/>
          </w:tcPr>
          <w:p>
            <w:pPr>
              <w:spacing w:line="360" w:lineRule="auto"/>
              <w:jc w:val="center"/>
              <w:rPr>
                <w:bCs/>
                <w:kern w:val="44"/>
                <w:sz w:val="24"/>
                <w:szCs w:val="24"/>
              </w:rPr>
            </w:pPr>
          </w:p>
        </w:tc>
        <w:tc>
          <w:tcPr>
            <w:tcW w:w="1451" w:type="dxa"/>
            <w:vAlign w:val="center"/>
          </w:tcPr>
          <w:p>
            <w:pPr>
              <w:spacing w:line="360" w:lineRule="auto"/>
              <w:jc w:val="center"/>
              <w:rPr>
                <w:bCs/>
                <w:kern w:val="44"/>
                <w:sz w:val="24"/>
                <w:szCs w:val="24"/>
              </w:rPr>
            </w:pPr>
          </w:p>
        </w:tc>
        <w:tc>
          <w:tcPr>
            <w:tcW w:w="1196" w:type="dxa"/>
            <w:vAlign w:val="center"/>
          </w:tcPr>
          <w:p>
            <w:pPr>
              <w:spacing w:line="360" w:lineRule="auto"/>
              <w:jc w:val="center"/>
              <w:rPr>
                <w:bCs/>
                <w:kern w:val="44"/>
                <w:sz w:val="24"/>
                <w:szCs w:val="24"/>
              </w:rPr>
            </w:pPr>
          </w:p>
        </w:tc>
        <w:tc>
          <w:tcPr>
            <w:tcW w:w="1214" w:type="dxa"/>
            <w:vAlign w:val="center"/>
          </w:tcPr>
          <w:p>
            <w:pPr>
              <w:spacing w:line="360" w:lineRule="auto"/>
              <w:jc w:val="center"/>
              <w:rPr>
                <w:bCs/>
                <w:kern w:val="44"/>
                <w:sz w:val="24"/>
                <w:szCs w:val="24"/>
              </w:rPr>
            </w:pPr>
          </w:p>
        </w:tc>
        <w:tc>
          <w:tcPr>
            <w:tcW w:w="1071" w:type="dxa"/>
            <w:vAlign w:val="center"/>
          </w:tcPr>
          <w:p>
            <w:pPr>
              <w:spacing w:line="360" w:lineRule="auto"/>
              <w:jc w:val="center"/>
              <w:rPr>
                <w:bCs/>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spacing w:line="360" w:lineRule="auto"/>
              <w:jc w:val="center"/>
              <w:rPr>
                <w:bCs/>
                <w:kern w:val="44"/>
                <w:szCs w:val="21"/>
              </w:rPr>
            </w:pPr>
          </w:p>
        </w:tc>
        <w:tc>
          <w:tcPr>
            <w:tcW w:w="1558" w:type="dxa"/>
            <w:vAlign w:val="center"/>
          </w:tcPr>
          <w:p>
            <w:pPr>
              <w:spacing w:line="360" w:lineRule="auto"/>
              <w:jc w:val="center"/>
              <w:rPr>
                <w:bCs/>
                <w:kern w:val="44"/>
                <w:sz w:val="24"/>
                <w:szCs w:val="24"/>
              </w:rPr>
            </w:pPr>
          </w:p>
        </w:tc>
        <w:tc>
          <w:tcPr>
            <w:tcW w:w="1384" w:type="dxa"/>
            <w:vAlign w:val="center"/>
          </w:tcPr>
          <w:p>
            <w:pPr>
              <w:spacing w:line="360" w:lineRule="auto"/>
              <w:jc w:val="center"/>
              <w:rPr>
                <w:bCs/>
                <w:kern w:val="44"/>
                <w:sz w:val="24"/>
                <w:szCs w:val="24"/>
              </w:rPr>
            </w:pPr>
          </w:p>
        </w:tc>
        <w:tc>
          <w:tcPr>
            <w:tcW w:w="1451" w:type="dxa"/>
            <w:vAlign w:val="center"/>
          </w:tcPr>
          <w:p>
            <w:pPr>
              <w:spacing w:line="360" w:lineRule="auto"/>
              <w:jc w:val="center"/>
              <w:rPr>
                <w:bCs/>
                <w:kern w:val="44"/>
                <w:sz w:val="24"/>
                <w:szCs w:val="24"/>
              </w:rPr>
            </w:pPr>
          </w:p>
        </w:tc>
        <w:tc>
          <w:tcPr>
            <w:tcW w:w="1196" w:type="dxa"/>
            <w:vAlign w:val="center"/>
          </w:tcPr>
          <w:p>
            <w:pPr>
              <w:spacing w:line="360" w:lineRule="auto"/>
              <w:jc w:val="center"/>
              <w:rPr>
                <w:bCs/>
                <w:kern w:val="44"/>
                <w:sz w:val="24"/>
                <w:szCs w:val="24"/>
              </w:rPr>
            </w:pPr>
          </w:p>
        </w:tc>
        <w:tc>
          <w:tcPr>
            <w:tcW w:w="1214" w:type="dxa"/>
            <w:vAlign w:val="center"/>
          </w:tcPr>
          <w:p>
            <w:pPr>
              <w:spacing w:line="360" w:lineRule="auto"/>
              <w:jc w:val="center"/>
              <w:rPr>
                <w:bCs/>
                <w:kern w:val="44"/>
                <w:sz w:val="24"/>
                <w:szCs w:val="24"/>
              </w:rPr>
            </w:pPr>
          </w:p>
        </w:tc>
        <w:tc>
          <w:tcPr>
            <w:tcW w:w="1071" w:type="dxa"/>
            <w:vAlign w:val="center"/>
          </w:tcPr>
          <w:p>
            <w:pPr>
              <w:spacing w:line="360" w:lineRule="auto"/>
              <w:jc w:val="center"/>
              <w:rPr>
                <w:bCs/>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spacing w:line="360" w:lineRule="auto"/>
              <w:jc w:val="center"/>
              <w:rPr>
                <w:bCs/>
                <w:kern w:val="44"/>
                <w:szCs w:val="21"/>
              </w:rPr>
            </w:pPr>
          </w:p>
        </w:tc>
        <w:tc>
          <w:tcPr>
            <w:tcW w:w="1558" w:type="dxa"/>
            <w:vAlign w:val="center"/>
          </w:tcPr>
          <w:p>
            <w:pPr>
              <w:spacing w:line="360" w:lineRule="auto"/>
              <w:jc w:val="center"/>
              <w:rPr>
                <w:bCs/>
                <w:kern w:val="44"/>
                <w:sz w:val="24"/>
                <w:szCs w:val="24"/>
              </w:rPr>
            </w:pPr>
          </w:p>
        </w:tc>
        <w:tc>
          <w:tcPr>
            <w:tcW w:w="1384" w:type="dxa"/>
            <w:vAlign w:val="center"/>
          </w:tcPr>
          <w:p>
            <w:pPr>
              <w:spacing w:line="360" w:lineRule="auto"/>
              <w:jc w:val="center"/>
              <w:rPr>
                <w:bCs/>
                <w:kern w:val="44"/>
                <w:sz w:val="24"/>
                <w:szCs w:val="24"/>
              </w:rPr>
            </w:pPr>
          </w:p>
        </w:tc>
        <w:tc>
          <w:tcPr>
            <w:tcW w:w="1451" w:type="dxa"/>
            <w:vAlign w:val="center"/>
          </w:tcPr>
          <w:p>
            <w:pPr>
              <w:spacing w:line="360" w:lineRule="auto"/>
              <w:jc w:val="center"/>
              <w:rPr>
                <w:bCs/>
                <w:kern w:val="44"/>
                <w:sz w:val="24"/>
                <w:szCs w:val="24"/>
              </w:rPr>
            </w:pPr>
          </w:p>
        </w:tc>
        <w:tc>
          <w:tcPr>
            <w:tcW w:w="1196" w:type="dxa"/>
            <w:vAlign w:val="center"/>
          </w:tcPr>
          <w:p>
            <w:pPr>
              <w:spacing w:line="360" w:lineRule="auto"/>
              <w:jc w:val="center"/>
              <w:rPr>
                <w:bCs/>
                <w:kern w:val="44"/>
                <w:sz w:val="24"/>
                <w:szCs w:val="24"/>
              </w:rPr>
            </w:pPr>
          </w:p>
        </w:tc>
        <w:tc>
          <w:tcPr>
            <w:tcW w:w="1214" w:type="dxa"/>
            <w:vAlign w:val="center"/>
          </w:tcPr>
          <w:p>
            <w:pPr>
              <w:spacing w:line="360" w:lineRule="auto"/>
              <w:jc w:val="center"/>
              <w:rPr>
                <w:bCs/>
                <w:kern w:val="44"/>
                <w:sz w:val="24"/>
                <w:szCs w:val="24"/>
              </w:rPr>
            </w:pPr>
          </w:p>
        </w:tc>
        <w:tc>
          <w:tcPr>
            <w:tcW w:w="1071" w:type="dxa"/>
            <w:vAlign w:val="center"/>
          </w:tcPr>
          <w:p>
            <w:pPr>
              <w:spacing w:line="360" w:lineRule="auto"/>
              <w:jc w:val="center"/>
              <w:rPr>
                <w:bCs/>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5" w:hRule="atLeast"/>
        </w:trPr>
        <w:tc>
          <w:tcPr>
            <w:tcW w:w="9401" w:type="dxa"/>
            <w:gridSpan w:val="7"/>
          </w:tcPr>
          <w:p>
            <w:pPr>
              <w:spacing w:line="360" w:lineRule="auto"/>
              <w:rPr>
                <w:bCs/>
                <w:kern w:val="44"/>
                <w:sz w:val="24"/>
                <w:szCs w:val="24"/>
              </w:rPr>
            </w:pPr>
            <w:r>
              <w:rPr>
                <w:rFonts w:hint="eastAsia"/>
                <w:bCs/>
                <w:kern w:val="44"/>
                <w:sz w:val="24"/>
                <w:szCs w:val="24"/>
              </w:rPr>
              <w:t>测试布置简图：（注明测试点位置方向）</w:t>
            </w:r>
          </w:p>
        </w:tc>
      </w:tr>
    </w:tbl>
    <w:p>
      <w:pPr>
        <w:adjustRightInd w:val="0"/>
        <w:snapToGrid w:val="0"/>
        <w:spacing w:line="440" w:lineRule="atLeast"/>
        <w:jc w:val="center"/>
        <w:textAlignment w:val="baseline"/>
        <w:outlineLvl w:val="0"/>
        <w:rPr>
          <w:rFonts w:ascii="宋体" w:hAnsi="宋体"/>
          <w:b/>
          <w:color w:val="000000"/>
          <w:sz w:val="32"/>
          <w:szCs w:val="32"/>
        </w:rPr>
      </w:pPr>
      <w:r>
        <w:rPr>
          <w:b/>
          <w:sz w:val="24"/>
          <w:szCs w:val="24"/>
        </w:rPr>
        <w:br w:type="page"/>
      </w:r>
      <w:bookmarkStart w:id="44" w:name="_Toc43819486"/>
      <w:bookmarkStart w:id="45" w:name="_Toc43819631"/>
      <w:r>
        <w:rPr>
          <w:rFonts w:hint="eastAsia" w:ascii="宋体" w:hAnsi="宋体"/>
          <w:b/>
          <w:color w:val="000000"/>
          <w:sz w:val="32"/>
          <w:szCs w:val="32"/>
        </w:rPr>
        <w:t>本规程用词说明</w:t>
      </w:r>
      <w:bookmarkEnd w:id="44"/>
      <w:bookmarkEnd w:id="45"/>
    </w:p>
    <w:p>
      <w:pPr>
        <w:autoSpaceDE w:val="0"/>
        <w:autoSpaceDN w:val="0"/>
        <w:adjustRightInd w:val="0"/>
        <w:snapToGrid w:val="0"/>
        <w:spacing w:line="440" w:lineRule="atLeast"/>
        <w:ind w:firstLine="472" w:firstLineChars="196"/>
        <w:jc w:val="left"/>
        <w:textAlignment w:val="baseline"/>
        <w:rPr>
          <w:rFonts w:ascii="宋体" w:hAnsi="宋体"/>
          <w:b/>
          <w:color w:val="000000"/>
          <w:kern w:val="0"/>
          <w:sz w:val="24"/>
        </w:rPr>
      </w:pPr>
    </w:p>
    <w:p>
      <w:pPr>
        <w:autoSpaceDE w:val="0"/>
        <w:autoSpaceDN w:val="0"/>
        <w:adjustRightInd w:val="0"/>
        <w:snapToGrid w:val="0"/>
        <w:spacing w:line="440" w:lineRule="atLeast"/>
        <w:ind w:firstLine="472" w:firstLineChars="196"/>
        <w:jc w:val="left"/>
        <w:textAlignment w:val="baseline"/>
        <w:rPr>
          <w:rFonts w:ascii="宋体" w:hAnsi="宋体"/>
          <w:color w:val="000000"/>
          <w:kern w:val="0"/>
          <w:sz w:val="24"/>
        </w:rPr>
      </w:pPr>
      <w:r>
        <w:rPr>
          <w:rFonts w:ascii="宋体" w:hAnsi="宋体"/>
          <w:b/>
          <w:color w:val="000000"/>
          <w:kern w:val="0"/>
          <w:sz w:val="24"/>
        </w:rPr>
        <w:t>1</w:t>
      </w:r>
      <w:r>
        <w:rPr>
          <w:rFonts w:hint="eastAsia" w:ascii="宋体" w:hAnsi="宋体"/>
          <w:b/>
          <w:color w:val="000000"/>
          <w:kern w:val="0"/>
          <w:sz w:val="24"/>
        </w:rPr>
        <w:t xml:space="preserve"> </w:t>
      </w:r>
      <w:r>
        <w:rPr>
          <w:rFonts w:hint="eastAsia" w:ascii="宋体" w:hAnsi="宋体"/>
          <w:color w:val="000000"/>
          <w:kern w:val="0"/>
          <w:sz w:val="24"/>
        </w:rPr>
        <w:t xml:space="preserve"> 为便于在执行本规程条文时区别对待，对要求严格程度不同的用词说明如下：</w:t>
      </w:r>
    </w:p>
    <w:p>
      <w:pPr>
        <w:autoSpaceDE w:val="0"/>
        <w:autoSpaceDN w:val="0"/>
        <w:adjustRightInd w:val="0"/>
        <w:snapToGrid w:val="0"/>
        <w:spacing w:line="440" w:lineRule="atLeast"/>
        <w:jc w:val="left"/>
        <w:textAlignment w:val="baseline"/>
        <w:rPr>
          <w:rFonts w:ascii="宋体" w:hAnsi="宋体"/>
          <w:color w:val="000000"/>
          <w:kern w:val="0"/>
          <w:sz w:val="24"/>
        </w:rPr>
      </w:pPr>
      <w:r>
        <w:rPr>
          <w:rFonts w:ascii="宋体" w:hAnsi="宋体"/>
          <w:color w:val="000000"/>
          <w:kern w:val="0"/>
          <w:sz w:val="24"/>
        </w:rPr>
        <w:t xml:space="preserve">   </w:t>
      </w:r>
      <w:r>
        <w:rPr>
          <w:rFonts w:hint="eastAsia" w:ascii="宋体" w:hAnsi="宋体"/>
          <w:color w:val="000000"/>
          <w:kern w:val="0"/>
          <w:sz w:val="24"/>
        </w:rPr>
        <w:t xml:space="preserve">    </w:t>
      </w:r>
      <w:r>
        <w:rPr>
          <w:rFonts w:ascii="宋体" w:hAnsi="宋体"/>
          <w:b/>
          <w:color w:val="000000"/>
          <w:kern w:val="0"/>
          <w:sz w:val="24"/>
        </w:rPr>
        <w:t>1</w:t>
      </w:r>
      <w:r>
        <w:rPr>
          <w:rFonts w:hint="eastAsia" w:ascii="宋体" w:hAnsi="宋体"/>
          <w:b/>
          <w:color w:val="000000"/>
          <w:kern w:val="0"/>
          <w:sz w:val="24"/>
        </w:rPr>
        <w:t>）</w:t>
      </w:r>
      <w:r>
        <w:rPr>
          <w:rFonts w:hint="eastAsia" w:ascii="宋体" w:hAnsi="宋体"/>
          <w:color w:val="000000"/>
          <w:kern w:val="0"/>
          <w:sz w:val="24"/>
        </w:rPr>
        <w:t>表示很严格，非这样做不可的用词：</w:t>
      </w:r>
    </w:p>
    <w:p>
      <w:pPr>
        <w:autoSpaceDE w:val="0"/>
        <w:autoSpaceDN w:val="0"/>
        <w:adjustRightInd w:val="0"/>
        <w:snapToGrid w:val="0"/>
        <w:spacing w:line="440" w:lineRule="atLeast"/>
        <w:jc w:val="left"/>
        <w:textAlignment w:val="baseline"/>
        <w:rPr>
          <w:rFonts w:ascii="宋体" w:hAnsi="宋体"/>
          <w:color w:val="000000"/>
          <w:kern w:val="0"/>
          <w:sz w:val="24"/>
        </w:rPr>
      </w:pPr>
      <w:r>
        <w:rPr>
          <w:rFonts w:ascii="宋体" w:hAnsi="宋体"/>
          <w:color w:val="000000"/>
          <w:kern w:val="0"/>
          <w:sz w:val="24"/>
        </w:rPr>
        <w:t xml:space="preserve">      </w:t>
      </w:r>
      <w:r>
        <w:rPr>
          <w:rFonts w:hint="eastAsia" w:ascii="宋体" w:hAnsi="宋体"/>
          <w:color w:val="000000"/>
          <w:kern w:val="0"/>
          <w:sz w:val="24"/>
        </w:rPr>
        <w:t xml:space="preserve"> 正面词采用</w:t>
      </w:r>
      <w:r>
        <w:rPr>
          <w:rFonts w:ascii="宋体" w:hAnsi="宋体"/>
          <w:color w:val="000000"/>
          <w:kern w:val="0"/>
          <w:sz w:val="24"/>
        </w:rPr>
        <w:t>“</w:t>
      </w:r>
      <w:r>
        <w:rPr>
          <w:rFonts w:hint="eastAsia" w:ascii="宋体" w:hAnsi="宋体"/>
          <w:color w:val="000000"/>
          <w:kern w:val="0"/>
          <w:sz w:val="24"/>
        </w:rPr>
        <w:t>必须</w:t>
      </w:r>
      <w:r>
        <w:rPr>
          <w:rFonts w:ascii="宋体" w:hAnsi="宋体"/>
          <w:color w:val="000000"/>
          <w:kern w:val="0"/>
          <w:sz w:val="24"/>
        </w:rPr>
        <w:t>”</w:t>
      </w:r>
      <w:r>
        <w:rPr>
          <w:rFonts w:hint="eastAsia" w:ascii="宋体" w:hAnsi="宋体"/>
          <w:color w:val="000000"/>
          <w:kern w:val="0"/>
          <w:sz w:val="24"/>
        </w:rPr>
        <w:t>，反面词采用</w:t>
      </w:r>
      <w:r>
        <w:rPr>
          <w:rFonts w:ascii="宋体" w:hAnsi="宋体"/>
          <w:color w:val="000000"/>
          <w:kern w:val="0"/>
          <w:sz w:val="24"/>
        </w:rPr>
        <w:t>“</w:t>
      </w:r>
      <w:r>
        <w:rPr>
          <w:rFonts w:hint="eastAsia" w:ascii="宋体" w:hAnsi="宋体"/>
          <w:color w:val="000000"/>
          <w:kern w:val="0"/>
          <w:sz w:val="24"/>
        </w:rPr>
        <w:t>严禁</w:t>
      </w:r>
      <w:r>
        <w:rPr>
          <w:rFonts w:ascii="宋体" w:hAnsi="宋体"/>
          <w:color w:val="000000"/>
          <w:kern w:val="0"/>
          <w:sz w:val="24"/>
        </w:rPr>
        <w:t>”</w:t>
      </w:r>
      <w:r>
        <w:rPr>
          <w:rFonts w:hint="eastAsia" w:ascii="宋体" w:hAnsi="宋体"/>
          <w:color w:val="000000"/>
          <w:kern w:val="0"/>
          <w:sz w:val="24"/>
        </w:rPr>
        <w:t>；</w:t>
      </w:r>
    </w:p>
    <w:p>
      <w:pPr>
        <w:autoSpaceDE w:val="0"/>
        <w:autoSpaceDN w:val="0"/>
        <w:adjustRightInd w:val="0"/>
        <w:snapToGrid w:val="0"/>
        <w:spacing w:line="440" w:lineRule="atLeast"/>
        <w:jc w:val="left"/>
        <w:textAlignment w:val="baseline"/>
        <w:rPr>
          <w:rFonts w:ascii="宋体" w:hAnsi="宋体"/>
          <w:color w:val="000000"/>
          <w:kern w:val="0"/>
          <w:sz w:val="24"/>
        </w:rPr>
      </w:pPr>
      <w:r>
        <w:rPr>
          <w:rFonts w:ascii="宋体" w:hAnsi="宋体"/>
          <w:color w:val="000000"/>
          <w:kern w:val="0"/>
          <w:sz w:val="24"/>
        </w:rPr>
        <w:t xml:space="preserve">  </w:t>
      </w:r>
      <w:r>
        <w:rPr>
          <w:rFonts w:ascii="宋体" w:hAnsi="宋体"/>
          <w:b/>
          <w:color w:val="000000"/>
          <w:kern w:val="0"/>
          <w:sz w:val="24"/>
        </w:rPr>
        <w:t xml:space="preserve"> </w:t>
      </w:r>
      <w:r>
        <w:rPr>
          <w:rFonts w:hint="eastAsia" w:ascii="宋体" w:hAnsi="宋体"/>
          <w:b/>
          <w:color w:val="000000"/>
          <w:kern w:val="0"/>
          <w:sz w:val="24"/>
        </w:rPr>
        <w:t xml:space="preserve">    </w:t>
      </w:r>
      <w:r>
        <w:rPr>
          <w:rFonts w:ascii="宋体" w:hAnsi="宋体"/>
          <w:b/>
          <w:color w:val="000000"/>
          <w:kern w:val="0"/>
          <w:sz w:val="24"/>
        </w:rPr>
        <w:t>2</w:t>
      </w:r>
      <w:r>
        <w:rPr>
          <w:rFonts w:hint="eastAsia" w:ascii="宋体" w:hAnsi="宋体"/>
          <w:b/>
          <w:color w:val="000000"/>
          <w:kern w:val="0"/>
          <w:sz w:val="24"/>
        </w:rPr>
        <w:t>）</w:t>
      </w:r>
      <w:r>
        <w:rPr>
          <w:rFonts w:hint="eastAsia" w:ascii="宋体" w:hAnsi="宋体"/>
          <w:color w:val="000000"/>
          <w:kern w:val="0"/>
          <w:sz w:val="24"/>
        </w:rPr>
        <w:t>表示严格，在正常情况下均应这样做的用词：</w:t>
      </w:r>
    </w:p>
    <w:p>
      <w:pPr>
        <w:autoSpaceDE w:val="0"/>
        <w:autoSpaceDN w:val="0"/>
        <w:adjustRightInd w:val="0"/>
        <w:snapToGrid w:val="0"/>
        <w:spacing w:line="440" w:lineRule="atLeast"/>
        <w:jc w:val="left"/>
        <w:textAlignment w:val="baseline"/>
        <w:rPr>
          <w:rFonts w:ascii="宋体" w:hAnsi="宋体"/>
          <w:color w:val="000000"/>
          <w:kern w:val="0"/>
          <w:sz w:val="24"/>
        </w:rPr>
      </w:pPr>
      <w:r>
        <w:rPr>
          <w:rFonts w:ascii="宋体" w:hAnsi="宋体"/>
          <w:color w:val="000000"/>
          <w:kern w:val="0"/>
          <w:sz w:val="24"/>
        </w:rPr>
        <w:t xml:space="preserve">      </w:t>
      </w:r>
      <w:r>
        <w:rPr>
          <w:rFonts w:hint="eastAsia" w:ascii="宋体" w:hAnsi="宋体"/>
          <w:color w:val="000000"/>
          <w:kern w:val="0"/>
          <w:sz w:val="24"/>
        </w:rPr>
        <w:t xml:space="preserve"> 正面词采用</w:t>
      </w:r>
      <w:r>
        <w:rPr>
          <w:rFonts w:ascii="宋体" w:hAnsi="宋体"/>
          <w:color w:val="000000"/>
          <w:kern w:val="0"/>
          <w:sz w:val="24"/>
        </w:rPr>
        <w:t>“</w:t>
      </w:r>
      <w:r>
        <w:rPr>
          <w:rFonts w:hint="eastAsia" w:ascii="宋体" w:hAnsi="宋体"/>
          <w:color w:val="000000"/>
          <w:kern w:val="0"/>
          <w:sz w:val="24"/>
        </w:rPr>
        <w:t>应</w:t>
      </w:r>
      <w:r>
        <w:rPr>
          <w:rFonts w:ascii="宋体" w:hAnsi="宋体"/>
          <w:color w:val="000000"/>
          <w:kern w:val="0"/>
          <w:sz w:val="24"/>
        </w:rPr>
        <w:t>”</w:t>
      </w:r>
      <w:r>
        <w:rPr>
          <w:rFonts w:hint="eastAsia" w:ascii="宋体" w:hAnsi="宋体"/>
          <w:color w:val="000000"/>
          <w:kern w:val="0"/>
          <w:sz w:val="24"/>
        </w:rPr>
        <w:t>，反面词采用</w:t>
      </w:r>
      <w:r>
        <w:rPr>
          <w:rFonts w:ascii="宋体" w:hAnsi="宋体"/>
          <w:color w:val="000000"/>
          <w:kern w:val="0"/>
          <w:sz w:val="24"/>
        </w:rPr>
        <w:t>“</w:t>
      </w:r>
      <w:r>
        <w:rPr>
          <w:rFonts w:hint="eastAsia" w:ascii="宋体" w:hAnsi="宋体"/>
          <w:color w:val="000000"/>
          <w:kern w:val="0"/>
          <w:sz w:val="24"/>
        </w:rPr>
        <w:t>不应</w:t>
      </w:r>
      <w:r>
        <w:rPr>
          <w:rFonts w:ascii="宋体" w:hAnsi="宋体"/>
          <w:color w:val="000000"/>
          <w:kern w:val="0"/>
          <w:sz w:val="24"/>
        </w:rPr>
        <w:t>”</w:t>
      </w:r>
      <w:r>
        <w:rPr>
          <w:rFonts w:hint="eastAsia" w:ascii="宋体" w:hAnsi="宋体"/>
          <w:color w:val="000000"/>
          <w:kern w:val="0"/>
          <w:sz w:val="24"/>
        </w:rPr>
        <w:t>或</w:t>
      </w:r>
      <w:r>
        <w:rPr>
          <w:rFonts w:ascii="宋体" w:hAnsi="宋体"/>
          <w:color w:val="000000"/>
          <w:kern w:val="0"/>
          <w:sz w:val="24"/>
        </w:rPr>
        <w:t>“</w:t>
      </w:r>
      <w:r>
        <w:rPr>
          <w:rFonts w:hint="eastAsia" w:ascii="宋体" w:hAnsi="宋体"/>
          <w:color w:val="000000"/>
          <w:kern w:val="0"/>
          <w:sz w:val="24"/>
        </w:rPr>
        <w:t>不得</w:t>
      </w:r>
      <w:r>
        <w:rPr>
          <w:rFonts w:ascii="宋体" w:hAnsi="宋体"/>
          <w:color w:val="000000"/>
          <w:kern w:val="0"/>
          <w:sz w:val="24"/>
        </w:rPr>
        <w:t>”</w:t>
      </w:r>
      <w:r>
        <w:rPr>
          <w:rFonts w:hint="eastAsia" w:ascii="宋体" w:hAnsi="宋体"/>
          <w:color w:val="000000"/>
          <w:kern w:val="0"/>
          <w:sz w:val="24"/>
        </w:rPr>
        <w:t>；</w:t>
      </w:r>
    </w:p>
    <w:p>
      <w:pPr>
        <w:autoSpaceDE w:val="0"/>
        <w:autoSpaceDN w:val="0"/>
        <w:adjustRightInd w:val="0"/>
        <w:snapToGrid w:val="0"/>
        <w:spacing w:line="440" w:lineRule="atLeast"/>
        <w:jc w:val="left"/>
        <w:textAlignment w:val="baseline"/>
        <w:rPr>
          <w:rFonts w:ascii="宋体" w:hAnsi="宋体"/>
          <w:color w:val="000000"/>
          <w:kern w:val="0"/>
          <w:sz w:val="24"/>
        </w:rPr>
      </w:pPr>
      <w:r>
        <w:rPr>
          <w:rFonts w:ascii="宋体" w:hAnsi="宋体"/>
          <w:color w:val="000000"/>
          <w:kern w:val="0"/>
          <w:sz w:val="24"/>
        </w:rPr>
        <w:t xml:space="preserve">   </w:t>
      </w:r>
      <w:r>
        <w:rPr>
          <w:rFonts w:hint="eastAsia" w:ascii="宋体" w:hAnsi="宋体"/>
          <w:color w:val="000000"/>
          <w:kern w:val="0"/>
          <w:sz w:val="24"/>
        </w:rPr>
        <w:t xml:space="preserve">    </w:t>
      </w:r>
      <w:r>
        <w:rPr>
          <w:rFonts w:ascii="宋体" w:hAnsi="宋体"/>
          <w:b/>
          <w:color w:val="000000"/>
          <w:kern w:val="0"/>
          <w:sz w:val="24"/>
        </w:rPr>
        <w:t>3</w:t>
      </w:r>
      <w:r>
        <w:rPr>
          <w:rFonts w:hint="eastAsia" w:ascii="宋体" w:hAnsi="宋体"/>
          <w:b/>
          <w:color w:val="000000"/>
          <w:kern w:val="0"/>
          <w:sz w:val="24"/>
        </w:rPr>
        <w:t>）</w:t>
      </w:r>
      <w:r>
        <w:rPr>
          <w:rFonts w:hint="eastAsia" w:ascii="宋体" w:hAnsi="宋体"/>
          <w:color w:val="000000"/>
          <w:kern w:val="0"/>
          <w:sz w:val="24"/>
        </w:rPr>
        <w:t>表示允许稍有选择，在条件许可时首先应这样做的用词：</w:t>
      </w:r>
    </w:p>
    <w:p>
      <w:pPr>
        <w:autoSpaceDE w:val="0"/>
        <w:autoSpaceDN w:val="0"/>
        <w:adjustRightInd w:val="0"/>
        <w:snapToGrid w:val="0"/>
        <w:spacing w:line="440" w:lineRule="atLeast"/>
        <w:jc w:val="left"/>
        <w:textAlignment w:val="baseline"/>
        <w:rPr>
          <w:rFonts w:ascii="宋体" w:hAnsi="宋体"/>
          <w:color w:val="000000"/>
          <w:kern w:val="0"/>
          <w:sz w:val="24"/>
        </w:rPr>
      </w:pPr>
      <w:r>
        <w:rPr>
          <w:rFonts w:ascii="宋体" w:hAnsi="宋体"/>
          <w:color w:val="000000"/>
          <w:kern w:val="0"/>
          <w:sz w:val="24"/>
        </w:rPr>
        <w:t xml:space="preserve">      </w:t>
      </w:r>
      <w:r>
        <w:rPr>
          <w:rFonts w:hint="eastAsia" w:ascii="宋体" w:hAnsi="宋体"/>
          <w:color w:val="000000"/>
          <w:kern w:val="0"/>
          <w:sz w:val="24"/>
        </w:rPr>
        <w:t xml:space="preserve"> 正面词采用</w:t>
      </w:r>
      <w:r>
        <w:rPr>
          <w:rFonts w:ascii="宋体" w:hAnsi="宋体"/>
          <w:color w:val="000000"/>
          <w:kern w:val="0"/>
          <w:sz w:val="24"/>
        </w:rPr>
        <w:t>“</w:t>
      </w:r>
      <w:r>
        <w:rPr>
          <w:rFonts w:hint="eastAsia" w:ascii="宋体" w:hAnsi="宋体"/>
          <w:color w:val="000000"/>
          <w:kern w:val="0"/>
          <w:sz w:val="24"/>
        </w:rPr>
        <w:t>宜</w:t>
      </w:r>
      <w:r>
        <w:rPr>
          <w:rFonts w:ascii="宋体" w:hAnsi="宋体"/>
          <w:color w:val="000000"/>
          <w:kern w:val="0"/>
          <w:sz w:val="24"/>
        </w:rPr>
        <w:t>”</w:t>
      </w:r>
      <w:r>
        <w:rPr>
          <w:rFonts w:hint="eastAsia" w:ascii="宋体" w:hAnsi="宋体"/>
          <w:color w:val="000000"/>
          <w:kern w:val="0"/>
          <w:sz w:val="24"/>
        </w:rPr>
        <w:t>，反面词采用</w:t>
      </w:r>
      <w:r>
        <w:rPr>
          <w:rFonts w:ascii="宋体" w:hAnsi="宋体"/>
          <w:color w:val="000000"/>
          <w:kern w:val="0"/>
          <w:sz w:val="24"/>
        </w:rPr>
        <w:t>“</w:t>
      </w:r>
      <w:r>
        <w:rPr>
          <w:rFonts w:hint="eastAsia" w:ascii="宋体" w:hAnsi="宋体"/>
          <w:color w:val="000000"/>
          <w:kern w:val="0"/>
          <w:sz w:val="24"/>
        </w:rPr>
        <w:t>不宜</w:t>
      </w:r>
      <w:r>
        <w:rPr>
          <w:rFonts w:ascii="宋体" w:hAnsi="宋体"/>
          <w:color w:val="000000"/>
          <w:kern w:val="0"/>
          <w:sz w:val="24"/>
        </w:rPr>
        <w:t>”</w:t>
      </w:r>
      <w:r>
        <w:rPr>
          <w:rFonts w:hint="eastAsia" w:ascii="宋体" w:hAnsi="宋体"/>
          <w:color w:val="000000"/>
          <w:kern w:val="0"/>
          <w:sz w:val="24"/>
        </w:rPr>
        <w:t>；</w:t>
      </w:r>
    </w:p>
    <w:p>
      <w:pPr>
        <w:autoSpaceDE w:val="0"/>
        <w:autoSpaceDN w:val="0"/>
        <w:adjustRightInd w:val="0"/>
        <w:snapToGrid w:val="0"/>
        <w:spacing w:line="440" w:lineRule="atLeast"/>
        <w:jc w:val="left"/>
        <w:textAlignment w:val="baseline"/>
        <w:rPr>
          <w:rFonts w:ascii="宋体" w:hAnsi="宋体"/>
          <w:color w:val="000000"/>
          <w:kern w:val="0"/>
          <w:sz w:val="24"/>
        </w:rPr>
      </w:pPr>
      <w:r>
        <w:rPr>
          <w:rFonts w:ascii="宋体" w:hAnsi="宋体"/>
          <w:color w:val="000000"/>
          <w:kern w:val="0"/>
          <w:sz w:val="24"/>
        </w:rPr>
        <w:t xml:space="preserve">  </w:t>
      </w:r>
      <w:r>
        <w:rPr>
          <w:rFonts w:ascii="宋体" w:hAnsi="宋体"/>
          <w:b/>
          <w:color w:val="000000"/>
          <w:kern w:val="0"/>
          <w:sz w:val="24"/>
        </w:rPr>
        <w:t xml:space="preserve"> </w:t>
      </w:r>
      <w:r>
        <w:rPr>
          <w:rFonts w:hint="eastAsia" w:ascii="宋体" w:hAnsi="宋体"/>
          <w:b/>
          <w:color w:val="000000"/>
          <w:kern w:val="0"/>
          <w:sz w:val="24"/>
        </w:rPr>
        <w:t xml:space="preserve">    </w:t>
      </w:r>
      <w:r>
        <w:rPr>
          <w:rFonts w:ascii="宋体" w:hAnsi="宋体"/>
          <w:b/>
          <w:color w:val="000000"/>
          <w:kern w:val="0"/>
          <w:sz w:val="24"/>
        </w:rPr>
        <w:t>4</w:t>
      </w:r>
      <w:r>
        <w:rPr>
          <w:rFonts w:hint="eastAsia" w:ascii="宋体" w:hAnsi="宋体"/>
          <w:b/>
          <w:color w:val="000000"/>
          <w:kern w:val="0"/>
          <w:sz w:val="24"/>
        </w:rPr>
        <w:t>）</w:t>
      </w:r>
      <w:r>
        <w:rPr>
          <w:rFonts w:hint="eastAsia" w:ascii="宋体" w:hAnsi="宋体"/>
          <w:color w:val="000000"/>
          <w:kern w:val="0"/>
          <w:sz w:val="24"/>
        </w:rPr>
        <w:t>表示有选择，在一定条件下可以这样做的用词，采用</w:t>
      </w:r>
      <w:r>
        <w:rPr>
          <w:rFonts w:ascii="宋体" w:hAnsi="宋体"/>
          <w:color w:val="000000"/>
          <w:kern w:val="0"/>
          <w:sz w:val="24"/>
        </w:rPr>
        <w:t>“</w:t>
      </w:r>
      <w:r>
        <w:rPr>
          <w:rFonts w:hint="eastAsia" w:ascii="宋体" w:hAnsi="宋体"/>
          <w:color w:val="000000"/>
          <w:kern w:val="0"/>
          <w:sz w:val="24"/>
        </w:rPr>
        <w:t>可</w:t>
      </w:r>
      <w:r>
        <w:rPr>
          <w:rFonts w:ascii="宋体" w:hAnsi="宋体"/>
          <w:color w:val="000000"/>
          <w:kern w:val="0"/>
          <w:sz w:val="24"/>
        </w:rPr>
        <w:t>”</w:t>
      </w:r>
      <w:r>
        <w:rPr>
          <w:rFonts w:hint="eastAsia" w:ascii="宋体" w:hAnsi="宋体"/>
          <w:color w:val="000000"/>
          <w:kern w:val="0"/>
          <w:sz w:val="24"/>
        </w:rPr>
        <w:t>。</w:t>
      </w:r>
    </w:p>
    <w:p>
      <w:pPr>
        <w:autoSpaceDE w:val="0"/>
        <w:autoSpaceDN w:val="0"/>
        <w:adjustRightInd w:val="0"/>
        <w:snapToGrid w:val="0"/>
        <w:spacing w:line="440" w:lineRule="atLeast"/>
        <w:ind w:firstLine="472" w:firstLineChars="196"/>
        <w:jc w:val="left"/>
        <w:textAlignment w:val="baseline"/>
        <w:rPr>
          <w:rFonts w:ascii="宋体" w:hAnsi="宋体"/>
          <w:color w:val="000000"/>
          <w:kern w:val="0"/>
          <w:sz w:val="24"/>
        </w:rPr>
      </w:pPr>
      <w:r>
        <w:rPr>
          <w:rFonts w:ascii="宋体" w:hAnsi="宋体"/>
          <w:b/>
          <w:color w:val="000000"/>
          <w:kern w:val="0"/>
          <w:sz w:val="24"/>
        </w:rPr>
        <w:t>2</w:t>
      </w:r>
      <w:r>
        <w:rPr>
          <w:rFonts w:hint="eastAsia" w:ascii="宋体" w:hAnsi="宋体"/>
          <w:b/>
          <w:color w:val="000000"/>
          <w:kern w:val="0"/>
          <w:sz w:val="24"/>
        </w:rPr>
        <w:t xml:space="preserve">  </w:t>
      </w:r>
      <w:r>
        <w:rPr>
          <w:rFonts w:hint="eastAsia" w:ascii="宋体" w:hAnsi="宋体"/>
          <w:color w:val="000000"/>
          <w:kern w:val="0"/>
          <w:sz w:val="24"/>
        </w:rPr>
        <w:t>规范中指明应按其他有关标准执行的写法为：</w:t>
      </w:r>
    </w:p>
    <w:p>
      <w:pPr>
        <w:autoSpaceDE w:val="0"/>
        <w:autoSpaceDN w:val="0"/>
        <w:adjustRightInd w:val="0"/>
        <w:snapToGrid w:val="0"/>
        <w:spacing w:line="440" w:lineRule="atLeast"/>
        <w:ind w:firstLine="720" w:firstLineChars="300"/>
        <w:jc w:val="left"/>
        <w:textAlignment w:val="baseline"/>
        <w:rPr>
          <w:rFonts w:ascii="宋体" w:hAnsi="宋体"/>
          <w:color w:val="000000"/>
          <w:kern w:val="0"/>
          <w:sz w:val="24"/>
        </w:rPr>
      </w:pPr>
      <w:r>
        <w:rPr>
          <w:rFonts w:ascii="宋体" w:hAnsi="宋体"/>
          <w:color w:val="000000"/>
          <w:kern w:val="0"/>
          <w:sz w:val="24"/>
        </w:rPr>
        <w:t>“</w:t>
      </w:r>
      <w:r>
        <w:rPr>
          <w:rFonts w:hint="eastAsia" w:ascii="宋体" w:hAnsi="宋体"/>
          <w:color w:val="000000"/>
          <w:kern w:val="0"/>
          <w:sz w:val="24"/>
        </w:rPr>
        <w:t>应符合</w:t>
      </w:r>
      <w:r>
        <w:rPr>
          <w:rFonts w:ascii="宋体" w:hAnsi="宋体"/>
          <w:color w:val="000000"/>
          <w:kern w:val="0"/>
          <w:sz w:val="24"/>
        </w:rPr>
        <w:t>……</w:t>
      </w:r>
      <w:r>
        <w:rPr>
          <w:rFonts w:hint="eastAsia" w:ascii="宋体" w:hAnsi="宋体"/>
          <w:color w:val="000000"/>
          <w:kern w:val="0"/>
          <w:sz w:val="24"/>
        </w:rPr>
        <w:t>的规定</w:t>
      </w:r>
      <w:r>
        <w:rPr>
          <w:rFonts w:ascii="宋体" w:hAnsi="宋体"/>
          <w:color w:val="000000"/>
          <w:kern w:val="0"/>
          <w:sz w:val="24"/>
        </w:rPr>
        <w:t>”</w:t>
      </w:r>
      <w:r>
        <w:rPr>
          <w:rFonts w:hint="eastAsia" w:ascii="宋体" w:hAnsi="宋体"/>
          <w:color w:val="000000"/>
          <w:kern w:val="0"/>
          <w:sz w:val="24"/>
        </w:rPr>
        <w:t>或</w:t>
      </w:r>
      <w:r>
        <w:rPr>
          <w:rFonts w:ascii="宋体" w:hAnsi="宋体"/>
          <w:color w:val="000000"/>
          <w:kern w:val="0"/>
          <w:sz w:val="24"/>
        </w:rPr>
        <w:t>“</w:t>
      </w:r>
      <w:r>
        <w:rPr>
          <w:rFonts w:hint="eastAsia" w:ascii="宋体" w:hAnsi="宋体"/>
          <w:color w:val="000000"/>
          <w:kern w:val="0"/>
          <w:sz w:val="24"/>
        </w:rPr>
        <w:t>应按</w:t>
      </w:r>
      <w:r>
        <w:rPr>
          <w:rFonts w:ascii="宋体" w:hAnsi="宋体"/>
          <w:color w:val="000000"/>
          <w:kern w:val="0"/>
          <w:sz w:val="24"/>
        </w:rPr>
        <w:t>……</w:t>
      </w:r>
      <w:r>
        <w:rPr>
          <w:rFonts w:hint="eastAsia" w:ascii="宋体" w:hAnsi="宋体"/>
          <w:color w:val="000000"/>
          <w:kern w:val="0"/>
          <w:sz w:val="24"/>
        </w:rPr>
        <w:t>执行</w:t>
      </w:r>
      <w:r>
        <w:rPr>
          <w:rFonts w:ascii="宋体" w:hAnsi="宋体"/>
          <w:color w:val="000000"/>
          <w:kern w:val="0"/>
          <w:sz w:val="24"/>
        </w:rPr>
        <w:t>”</w:t>
      </w:r>
      <w:r>
        <w:rPr>
          <w:rFonts w:hint="eastAsia" w:ascii="宋体" w:hAnsi="宋体"/>
          <w:color w:val="000000"/>
          <w:kern w:val="0"/>
          <w:sz w:val="24"/>
        </w:rPr>
        <w:t>。</w:t>
      </w: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adjustRightInd w:val="0"/>
        <w:snapToGrid w:val="0"/>
        <w:spacing w:line="440" w:lineRule="atLeast"/>
        <w:jc w:val="center"/>
        <w:textAlignment w:val="baseline"/>
        <w:outlineLvl w:val="0"/>
        <w:rPr>
          <w:rFonts w:ascii="宋体" w:hAnsi="宋体"/>
          <w:b/>
          <w:color w:val="000000"/>
          <w:sz w:val="32"/>
          <w:szCs w:val="32"/>
        </w:rPr>
      </w:pPr>
      <w:bookmarkStart w:id="46" w:name="_Toc43819632"/>
      <w:bookmarkStart w:id="47" w:name="_Toc43819487"/>
      <w:r>
        <w:rPr>
          <w:rFonts w:hint="eastAsia" w:ascii="宋体" w:hAnsi="宋体"/>
          <w:b/>
          <w:color w:val="000000"/>
          <w:sz w:val="32"/>
          <w:szCs w:val="32"/>
        </w:rPr>
        <w:t>引用标准名录</w:t>
      </w:r>
      <w:bookmarkEnd w:id="46"/>
      <w:bookmarkEnd w:id="47"/>
    </w:p>
    <w:p>
      <w:pPr>
        <w:adjustRightInd w:val="0"/>
        <w:snapToGrid w:val="0"/>
        <w:spacing w:line="440" w:lineRule="atLeast"/>
        <w:jc w:val="center"/>
        <w:textAlignment w:val="baseline"/>
        <w:outlineLvl w:val="0"/>
        <w:rPr>
          <w:rFonts w:ascii="宋体" w:hAnsi="宋体"/>
          <w:b/>
          <w:color w:val="000000"/>
          <w:sz w:val="32"/>
          <w:szCs w:val="32"/>
        </w:rPr>
      </w:pPr>
    </w:p>
    <w:p>
      <w:pPr>
        <w:numPr>
          <w:ilvl w:val="0"/>
          <w:numId w:val="1"/>
        </w:numPr>
        <w:spacing w:line="360" w:lineRule="auto"/>
        <w:ind w:left="420" w:leftChars="200" w:firstLine="0"/>
        <w:rPr>
          <w:sz w:val="24"/>
          <w:szCs w:val="24"/>
        </w:rPr>
      </w:pPr>
      <w:r>
        <w:rPr>
          <w:rFonts w:hint="eastAsia"/>
          <w:sz w:val="24"/>
          <w:szCs w:val="24"/>
        </w:rPr>
        <w:t>《交流电气装置的接地设计规范》GB/T 50065</w:t>
      </w:r>
    </w:p>
    <w:p>
      <w:pPr>
        <w:numPr>
          <w:ilvl w:val="0"/>
          <w:numId w:val="1"/>
        </w:numPr>
        <w:spacing w:line="360" w:lineRule="auto"/>
        <w:ind w:left="420" w:leftChars="200" w:firstLine="0"/>
        <w:rPr>
          <w:sz w:val="24"/>
          <w:szCs w:val="24"/>
        </w:rPr>
      </w:pPr>
      <w:r>
        <w:rPr>
          <w:sz w:val="24"/>
          <w:szCs w:val="24"/>
        </w:rPr>
        <w:t>《</w:t>
      </w:r>
      <w:r>
        <w:rPr>
          <w:rFonts w:hint="eastAsia"/>
          <w:sz w:val="24"/>
          <w:szCs w:val="24"/>
        </w:rPr>
        <w:t>电线电缆电性能试验方法 第1部分：总则</w:t>
      </w:r>
      <w:r>
        <w:rPr>
          <w:sz w:val="24"/>
          <w:szCs w:val="24"/>
        </w:rPr>
        <w:t>》</w:t>
      </w:r>
      <w:r>
        <w:rPr>
          <w:rFonts w:hint="eastAsia"/>
          <w:sz w:val="24"/>
          <w:szCs w:val="24"/>
        </w:rPr>
        <w:t>GB/T 3048.1</w:t>
      </w:r>
    </w:p>
    <w:p>
      <w:pPr>
        <w:numPr>
          <w:ilvl w:val="0"/>
          <w:numId w:val="1"/>
        </w:numPr>
        <w:spacing w:line="360" w:lineRule="auto"/>
        <w:ind w:left="420" w:leftChars="200" w:firstLine="0"/>
        <w:rPr>
          <w:sz w:val="24"/>
          <w:szCs w:val="24"/>
        </w:rPr>
      </w:pPr>
      <w:r>
        <w:rPr>
          <w:sz w:val="24"/>
          <w:szCs w:val="24"/>
        </w:rPr>
        <w:t>《</w:t>
      </w:r>
      <w:r>
        <w:rPr>
          <w:rFonts w:hint="eastAsia"/>
          <w:sz w:val="24"/>
          <w:szCs w:val="24"/>
        </w:rPr>
        <w:t>电线电缆电性能试验方法 第5部分：绝缘电阻</w:t>
      </w:r>
      <w:r>
        <w:rPr>
          <w:sz w:val="24"/>
          <w:szCs w:val="24"/>
        </w:rPr>
        <w:t>》</w:t>
      </w:r>
      <w:r>
        <w:rPr>
          <w:rFonts w:hint="eastAsia"/>
          <w:sz w:val="24"/>
          <w:szCs w:val="24"/>
        </w:rPr>
        <w:t>GB/T 3048.5</w:t>
      </w:r>
    </w:p>
    <w:p>
      <w:pPr>
        <w:numPr>
          <w:ilvl w:val="0"/>
          <w:numId w:val="1"/>
        </w:numPr>
        <w:spacing w:line="360" w:lineRule="auto"/>
        <w:ind w:left="420" w:leftChars="200" w:firstLine="0"/>
        <w:rPr>
          <w:sz w:val="24"/>
          <w:szCs w:val="24"/>
        </w:rPr>
      </w:pPr>
      <w:r>
        <w:rPr>
          <w:sz w:val="24"/>
          <w:szCs w:val="24"/>
        </w:rPr>
        <w:t>《</w:t>
      </w:r>
      <w:r>
        <w:rPr>
          <w:rFonts w:hint="eastAsia"/>
          <w:sz w:val="24"/>
          <w:szCs w:val="24"/>
        </w:rPr>
        <w:t>电阻测量装置通技术条件 第1部分：电子式绝缘电阻表</w:t>
      </w:r>
      <w:r>
        <w:rPr>
          <w:sz w:val="24"/>
          <w:szCs w:val="24"/>
        </w:rPr>
        <w:t>》</w:t>
      </w:r>
      <w:r>
        <w:rPr>
          <w:rFonts w:hint="eastAsia"/>
          <w:sz w:val="24"/>
          <w:szCs w:val="24"/>
        </w:rPr>
        <w:t>DL/T 845.1</w:t>
      </w:r>
    </w:p>
    <w:p>
      <w:pPr>
        <w:numPr>
          <w:ilvl w:val="0"/>
          <w:numId w:val="1"/>
        </w:numPr>
        <w:spacing w:line="360" w:lineRule="auto"/>
        <w:ind w:left="420" w:leftChars="200" w:firstLine="0"/>
        <w:rPr>
          <w:sz w:val="24"/>
          <w:szCs w:val="24"/>
        </w:rPr>
      </w:pPr>
      <w:r>
        <w:rPr>
          <w:sz w:val="24"/>
          <w:szCs w:val="24"/>
        </w:rPr>
        <w:t>《</w:t>
      </w:r>
      <w:r>
        <w:rPr>
          <w:rFonts w:hint="eastAsia"/>
          <w:sz w:val="24"/>
          <w:szCs w:val="24"/>
        </w:rPr>
        <w:t>电阻测量装置通技术条件 第2部分：工频接地电阻测试仪</w:t>
      </w:r>
      <w:r>
        <w:rPr>
          <w:sz w:val="24"/>
          <w:szCs w:val="24"/>
        </w:rPr>
        <w:t>》</w:t>
      </w:r>
      <w:r>
        <w:rPr>
          <w:rFonts w:hint="eastAsia"/>
          <w:sz w:val="24"/>
          <w:szCs w:val="24"/>
        </w:rPr>
        <w:t>DL/T 845.2</w:t>
      </w:r>
    </w:p>
    <w:p>
      <w:pPr>
        <w:numPr>
          <w:ilvl w:val="0"/>
          <w:numId w:val="1"/>
        </w:numPr>
        <w:spacing w:line="360" w:lineRule="auto"/>
        <w:ind w:left="420" w:leftChars="200" w:firstLine="0"/>
        <w:rPr>
          <w:sz w:val="24"/>
          <w:szCs w:val="24"/>
        </w:rPr>
      </w:pPr>
      <w:r>
        <w:rPr>
          <w:sz w:val="24"/>
          <w:szCs w:val="24"/>
        </w:rPr>
        <w:t>《</w:t>
      </w:r>
      <w:r>
        <w:rPr>
          <w:rFonts w:hint="eastAsia"/>
          <w:sz w:val="24"/>
          <w:szCs w:val="24"/>
        </w:rPr>
        <w:t>民用建筑电气设计规范</w:t>
      </w:r>
      <w:r>
        <w:rPr>
          <w:sz w:val="24"/>
          <w:szCs w:val="24"/>
        </w:rPr>
        <w:t>》</w:t>
      </w:r>
      <w:r>
        <w:rPr>
          <w:rFonts w:hint="eastAsia"/>
          <w:sz w:val="24"/>
          <w:szCs w:val="24"/>
        </w:rPr>
        <w:t>JGJ 16</w:t>
      </w:r>
    </w:p>
    <w:p>
      <w:pPr>
        <w:numPr>
          <w:ilvl w:val="0"/>
          <w:numId w:val="1"/>
        </w:numPr>
        <w:spacing w:line="360" w:lineRule="auto"/>
        <w:ind w:left="420" w:leftChars="200" w:firstLine="0"/>
        <w:rPr>
          <w:sz w:val="24"/>
          <w:szCs w:val="24"/>
        </w:rPr>
      </w:pPr>
      <w:r>
        <w:rPr>
          <w:sz w:val="24"/>
          <w:szCs w:val="24"/>
        </w:rPr>
        <w:t>《</w:t>
      </w:r>
      <w:r>
        <w:rPr>
          <w:rFonts w:hint="eastAsia"/>
          <w:sz w:val="24"/>
          <w:szCs w:val="24"/>
        </w:rPr>
        <w:t>电气装置安装工程接地装置施工及验收规范</w:t>
      </w:r>
      <w:r>
        <w:rPr>
          <w:sz w:val="24"/>
          <w:szCs w:val="24"/>
        </w:rPr>
        <w:t>》</w:t>
      </w:r>
      <w:r>
        <w:rPr>
          <w:rFonts w:hint="eastAsia"/>
          <w:sz w:val="24"/>
          <w:szCs w:val="24"/>
        </w:rPr>
        <w:t>GB 50169</w:t>
      </w:r>
    </w:p>
    <w:p>
      <w:pPr>
        <w:numPr>
          <w:ilvl w:val="0"/>
          <w:numId w:val="1"/>
        </w:numPr>
        <w:spacing w:line="360" w:lineRule="auto"/>
        <w:ind w:left="420" w:leftChars="200" w:firstLine="0"/>
        <w:rPr>
          <w:sz w:val="24"/>
          <w:szCs w:val="24"/>
        </w:rPr>
      </w:pPr>
      <w:r>
        <w:rPr>
          <w:sz w:val="24"/>
          <w:szCs w:val="24"/>
        </w:rPr>
        <w:t>《</w:t>
      </w:r>
      <w:r>
        <w:rPr>
          <w:rFonts w:hint="eastAsia"/>
          <w:sz w:val="24"/>
          <w:szCs w:val="24"/>
        </w:rPr>
        <w:t>建筑电气工程施工质量验收规范</w:t>
      </w:r>
      <w:r>
        <w:rPr>
          <w:sz w:val="24"/>
          <w:szCs w:val="24"/>
        </w:rPr>
        <w:t>》</w:t>
      </w:r>
      <w:r>
        <w:rPr>
          <w:rFonts w:hint="eastAsia"/>
          <w:sz w:val="24"/>
          <w:szCs w:val="24"/>
        </w:rPr>
        <w:t>GB 50303</w:t>
      </w:r>
    </w:p>
    <w:p>
      <w:pPr>
        <w:numPr>
          <w:ilvl w:val="0"/>
          <w:numId w:val="1"/>
        </w:numPr>
        <w:spacing w:line="360" w:lineRule="auto"/>
        <w:ind w:left="420" w:leftChars="200" w:firstLine="0"/>
        <w:rPr>
          <w:sz w:val="24"/>
          <w:szCs w:val="24"/>
        </w:rPr>
      </w:pPr>
      <w:r>
        <w:rPr>
          <w:rFonts w:hint="eastAsia"/>
          <w:sz w:val="24"/>
          <w:szCs w:val="24"/>
        </w:rPr>
        <w:t>《建筑物防雷设计规范》GB 50057</w:t>
      </w:r>
    </w:p>
    <w:p>
      <w:pPr>
        <w:numPr>
          <w:ilvl w:val="0"/>
          <w:numId w:val="1"/>
        </w:numPr>
        <w:spacing w:line="360" w:lineRule="auto"/>
        <w:ind w:left="420" w:leftChars="200" w:firstLine="0"/>
        <w:rPr>
          <w:sz w:val="24"/>
          <w:szCs w:val="24"/>
        </w:rPr>
      </w:pPr>
      <w:r>
        <w:rPr>
          <w:rFonts w:hint="eastAsia"/>
          <w:sz w:val="24"/>
          <w:szCs w:val="24"/>
        </w:rPr>
        <w:t>《电气装置安装工程低压电器施工及验收规范》GB 50254</w:t>
      </w:r>
    </w:p>
    <w:p>
      <w:pPr>
        <w:numPr>
          <w:ilvl w:val="0"/>
          <w:numId w:val="1"/>
        </w:numPr>
        <w:spacing w:line="360" w:lineRule="auto"/>
        <w:ind w:left="420" w:leftChars="200" w:firstLine="0"/>
        <w:rPr>
          <w:sz w:val="24"/>
          <w:szCs w:val="24"/>
        </w:rPr>
      </w:pPr>
      <w:r>
        <w:rPr>
          <w:rFonts w:hint="eastAsia"/>
          <w:sz w:val="24"/>
          <w:szCs w:val="24"/>
        </w:rPr>
        <w:t>《电气装置安装工程电气设备交接试验标准》GB 50150</w:t>
      </w:r>
    </w:p>
    <w:p>
      <w:pPr>
        <w:numPr>
          <w:ilvl w:val="0"/>
          <w:numId w:val="1"/>
        </w:numPr>
        <w:spacing w:line="360" w:lineRule="auto"/>
        <w:ind w:left="420" w:leftChars="200" w:firstLine="0"/>
        <w:rPr>
          <w:sz w:val="24"/>
          <w:szCs w:val="24"/>
        </w:rPr>
      </w:pPr>
      <w:r>
        <w:rPr>
          <w:sz w:val="24"/>
          <w:szCs w:val="24"/>
        </w:rPr>
        <w:t>《</w:t>
      </w:r>
      <w:r>
        <w:rPr>
          <w:rFonts w:hint="eastAsia"/>
          <w:sz w:val="24"/>
          <w:szCs w:val="24"/>
        </w:rPr>
        <w:t>交流1000V和直流1500V以下低压配电系统电气安全防护措施的试验、测量或监控设备 第2部分：绝缘电阻</w:t>
      </w:r>
      <w:r>
        <w:rPr>
          <w:sz w:val="24"/>
          <w:szCs w:val="24"/>
        </w:rPr>
        <w:t>》</w:t>
      </w:r>
      <w:r>
        <w:rPr>
          <w:rFonts w:hint="eastAsia"/>
          <w:sz w:val="24"/>
          <w:szCs w:val="24"/>
        </w:rPr>
        <w:t>GB/T 18216.2</w:t>
      </w: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pStyle w:val="12"/>
        <w:tabs>
          <w:tab w:val="left" w:pos="945"/>
        </w:tabs>
        <w:adjustRightInd w:val="0"/>
        <w:snapToGrid w:val="0"/>
        <w:spacing w:line="440" w:lineRule="atLeast"/>
        <w:ind w:firstLine="480" w:firstLineChars="200"/>
        <w:jc w:val="left"/>
        <w:rPr>
          <w:rFonts w:ascii="宋体" w:hAnsi="宋体" w:eastAsia="宋体"/>
          <w:b w:val="0"/>
          <w:sz w:val="24"/>
          <w:szCs w:val="24"/>
        </w:rPr>
      </w:pPr>
    </w:p>
    <w:p>
      <w:pPr>
        <w:adjustRightInd w:val="0"/>
        <w:snapToGrid w:val="0"/>
        <w:spacing w:line="440" w:lineRule="atLeast"/>
        <w:jc w:val="center"/>
        <w:rPr>
          <w:b/>
          <w:bCs/>
          <w:sz w:val="48"/>
          <w:szCs w:val="32"/>
        </w:rPr>
      </w:pPr>
      <w:r>
        <w:rPr>
          <w:b/>
          <w:bCs/>
          <w:sz w:val="48"/>
          <w:szCs w:val="32"/>
        </w:rPr>
        <w:t>广西壮族自治区</w:t>
      </w:r>
      <w:r>
        <w:rPr>
          <w:rFonts w:hint="eastAsia"/>
          <w:b/>
          <w:bCs/>
          <w:sz w:val="48"/>
          <w:szCs w:val="32"/>
        </w:rPr>
        <w:t>工程建设</w:t>
      </w:r>
      <w:r>
        <w:rPr>
          <w:b/>
          <w:bCs/>
          <w:sz w:val="48"/>
          <w:szCs w:val="32"/>
        </w:rPr>
        <w:t>地方标准</w:t>
      </w:r>
    </w:p>
    <w:p>
      <w:pPr>
        <w:adjustRightInd w:val="0"/>
        <w:snapToGrid w:val="0"/>
        <w:spacing w:line="440" w:lineRule="atLeast"/>
        <w:jc w:val="center"/>
        <w:rPr>
          <w:b/>
          <w:bCs/>
          <w:sz w:val="40"/>
          <w:szCs w:val="32"/>
        </w:rPr>
      </w:pPr>
    </w:p>
    <w:p>
      <w:pPr>
        <w:adjustRightInd w:val="0"/>
        <w:snapToGrid w:val="0"/>
        <w:spacing w:line="440" w:lineRule="atLeast"/>
        <w:jc w:val="center"/>
        <w:rPr>
          <w:b/>
          <w:bCs/>
          <w:sz w:val="40"/>
          <w:szCs w:val="32"/>
        </w:rPr>
      </w:pPr>
    </w:p>
    <w:p>
      <w:pPr>
        <w:adjustRightInd w:val="0"/>
        <w:snapToGrid w:val="0"/>
        <w:spacing w:line="360" w:lineRule="auto"/>
        <w:jc w:val="center"/>
        <w:rPr>
          <w:rFonts w:eastAsia="黑体"/>
          <w:b/>
          <w:bCs/>
          <w:sz w:val="44"/>
          <w:szCs w:val="32"/>
        </w:rPr>
      </w:pPr>
      <w:r>
        <w:rPr>
          <w:rFonts w:hint="eastAsia" w:eastAsia="黑体"/>
          <w:b/>
          <w:bCs/>
          <w:sz w:val="44"/>
          <w:szCs w:val="32"/>
        </w:rPr>
        <w:t xml:space="preserve">  建筑电气线路绝缘电阻、</w:t>
      </w:r>
    </w:p>
    <w:p>
      <w:pPr>
        <w:adjustRightInd w:val="0"/>
        <w:snapToGrid w:val="0"/>
        <w:spacing w:line="360" w:lineRule="auto"/>
        <w:jc w:val="center"/>
        <w:rPr>
          <w:rFonts w:eastAsia="黑体"/>
          <w:b/>
          <w:bCs/>
          <w:sz w:val="36"/>
          <w:szCs w:val="32"/>
        </w:rPr>
      </w:pPr>
      <w:r>
        <w:rPr>
          <w:rFonts w:hint="eastAsia" w:eastAsia="黑体"/>
          <w:b/>
          <w:bCs/>
          <w:sz w:val="44"/>
          <w:szCs w:val="32"/>
        </w:rPr>
        <w:t>接地电阻检测技术规程</w:t>
      </w:r>
    </w:p>
    <w:p>
      <w:pPr>
        <w:adjustRightInd w:val="0"/>
        <w:snapToGrid w:val="0"/>
        <w:spacing w:line="440" w:lineRule="atLeast"/>
        <w:jc w:val="center"/>
        <w:rPr>
          <w:b/>
          <w:bCs/>
          <w:sz w:val="40"/>
          <w:szCs w:val="32"/>
        </w:rPr>
      </w:pPr>
    </w:p>
    <w:p>
      <w:pPr>
        <w:adjustRightInd w:val="0"/>
        <w:snapToGrid w:val="0"/>
        <w:spacing w:line="440" w:lineRule="atLeast"/>
        <w:jc w:val="center"/>
        <w:rPr>
          <w:b/>
          <w:bCs/>
          <w:sz w:val="40"/>
          <w:szCs w:val="32"/>
        </w:rPr>
      </w:pPr>
    </w:p>
    <w:p>
      <w:pPr>
        <w:adjustRightInd w:val="0"/>
        <w:snapToGrid w:val="0"/>
        <w:spacing w:line="440" w:lineRule="atLeast"/>
        <w:jc w:val="center"/>
        <w:rPr>
          <w:b/>
          <w:bCs/>
          <w:sz w:val="40"/>
          <w:szCs w:val="32"/>
        </w:rPr>
      </w:pPr>
    </w:p>
    <w:p>
      <w:pPr>
        <w:snapToGrid w:val="0"/>
        <w:spacing w:line="260" w:lineRule="atLeast"/>
        <w:rPr>
          <w:rFonts w:ascii="宋体" w:hAnsi="宋体"/>
          <w:sz w:val="28"/>
          <w:szCs w:val="28"/>
        </w:rPr>
      </w:pPr>
    </w:p>
    <w:p>
      <w:pPr>
        <w:adjustRightInd w:val="0"/>
        <w:snapToGrid w:val="0"/>
        <w:spacing w:line="440" w:lineRule="atLeast"/>
        <w:jc w:val="center"/>
        <w:textAlignment w:val="baseline"/>
        <w:outlineLvl w:val="0"/>
        <w:rPr>
          <w:rFonts w:ascii="宋体" w:hAnsi="宋体"/>
          <w:b/>
          <w:bCs/>
          <w:sz w:val="36"/>
          <w:szCs w:val="32"/>
        </w:rPr>
      </w:pPr>
      <w:bookmarkStart w:id="48" w:name="_Toc43819488"/>
      <w:bookmarkStart w:id="49" w:name="_Toc43819633"/>
      <w:r>
        <w:rPr>
          <w:rFonts w:hint="eastAsia" w:ascii="宋体" w:hAnsi="宋体"/>
          <w:b/>
          <w:bCs/>
          <w:sz w:val="36"/>
          <w:szCs w:val="32"/>
        </w:rPr>
        <w:t>条 文 说 明</w:t>
      </w:r>
      <w:bookmarkEnd w:id="48"/>
      <w:bookmarkEnd w:id="49"/>
    </w:p>
    <w:p>
      <w:pPr>
        <w:spacing w:line="300" w:lineRule="atLeast"/>
        <w:jc w:val="center"/>
        <w:rPr>
          <w:rFonts w:ascii="宋体" w:hAnsi="宋体"/>
        </w:rPr>
      </w:pPr>
    </w:p>
    <w:p>
      <w:pPr>
        <w:spacing w:line="300" w:lineRule="atLeast"/>
        <w:jc w:val="center"/>
        <w:rPr>
          <w:rFonts w:ascii="宋体" w:hAnsi="宋体"/>
        </w:rPr>
      </w:pPr>
    </w:p>
    <w:p>
      <w:pPr>
        <w:pStyle w:val="3"/>
        <w:spacing w:before="480" w:after="120"/>
      </w:pPr>
    </w:p>
    <w:p/>
    <w:p/>
    <w:p/>
    <w:p/>
    <w:p/>
    <w:p/>
    <w:p/>
    <w:p/>
    <w:p/>
    <w:p/>
    <w:p>
      <w:pPr>
        <w:jc w:val="center"/>
        <w:rPr>
          <w:sz w:val="32"/>
        </w:rPr>
      </w:pPr>
      <w:bookmarkStart w:id="50" w:name="_Toc457727992"/>
      <w:r>
        <w:rPr>
          <w:rFonts w:hint="eastAsia"/>
          <w:sz w:val="32"/>
          <w:szCs w:val="32"/>
        </w:rPr>
        <w:t>目</w:t>
      </w:r>
      <w:r>
        <w:rPr>
          <w:sz w:val="32"/>
          <w:szCs w:val="32"/>
        </w:rPr>
        <w:t xml:space="preserve">  </w:t>
      </w:r>
      <w:r>
        <w:rPr>
          <w:rFonts w:hint="eastAsia"/>
          <w:sz w:val="32"/>
          <w:szCs w:val="32"/>
        </w:rPr>
        <w:t>次</w:t>
      </w:r>
    </w:p>
    <w:p>
      <w:pPr>
        <w:pStyle w:val="21"/>
        <w:spacing w:line="360" w:lineRule="auto"/>
        <w:rPr>
          <w:rFonts w:asciiTheme="minorHAnsi" w:hAnsiTheme="minorHAnsi" w:eastAsiaTheme="minorEastAsia" w:cstheme="minorBidi"/>
          <w:sz w:val="24"/>
          <w:szCs w:val="24"/>
        </w:rPr>
      </w:pPr>
      <w:r>
        <w:rPr>
          <w:sz w:val="24"/>
          <w:szCs w:val="24"/>
        </w:rPr>
        <w:fldChar w:fldCharType="begin"/>
      </w:r>
      <w:r>
        <w:rPr>
          <w:sz w:val="24"/>
          <w:szCs w:val="24"/>
        </w:rPr>
        <w:instrText xml:space="preserve"> TOC \o "1-2" \h \z \u </w:instrText>
      </w:r>
      <w:r>
        <w:rPr>
          <w:sz w:val="24"/>
          <w:szCs w:val="24"/>
        </w:rPr>
        <w:fldChar w:fldCharType="separate"/>
      </w:r>
    </w:p>
    <w:p>
      <w:pPr>
        <w:pStyle w:val="21"/>
        <w:spacing w:line="360" w:lineRule="auto"/>
        <w:rPr>
          <w:rFonts w:asciiTheme="minorHAnsi" w:hAnsiTheme="minorHAnsi" w:eastAsiaTheme="minorEastAsia" w:cstheme="minorBidi"/>
          <w:sz w:val="24"/>
          <w:szCs w:val="24"/>
        </w:rPr>
      </w:pPr>
      <w:r>
        <w:fldChar w:fldCharType="begin"/>
      </w:r>
      <w:r>
        <w:instrText xml:space="preserve"> HYPERLINK \l "_Toc43819489" </w:instrText>
      </w:r>
      <w:r>
        <w:fldChar w:fldCharType="separate"/>
      </w:r>
      <w:r>
        <w:rPr>
          <w:rStyle w:val="33"/>
          <w:sz w:val="24"/>
          <w:szCs w:val="24"/>
        </w:rPr>
        <w:t xml:space="preserve">1  </w:t>
      </w:r>
      <w:r>
        <w:rPr>
          <w:rStyle w:val="33"/>
          <w:rFonts w:hint="eastAsia"/>
          <w:sz w:val="24"/>
          <w:szCs w:val="24"/>
        </w:rPr>
        <w:t>总</w:t>
      </w:r>
      <w:r>
        <w:rPr>
          <w:rStyle w:val="33"/>
          <w:sz w:val="24"/>
          <w:szCs w:val="24"/>
        </w:rPr>
        <w:t xml:space="preserve">  </w:t>
      </w:r>
      <w:r>
        <w:rPr>
          <w:rStyle w:val="33"/>
          <w:rFonts w:hint="eastAsia"/>
          <w:sz w:val="24"/>
          <w:szCs w:val="24"/>
        </w:rPr>
        <w:t>则</w:t>
      </w:r>
      <w:r>
        <w:rPr>
          <w:sz w:val="24"/>
          <w:szCs w:val="24"/>
        </w:rPr>
        <w:tab/>
      </w:r>
      <w:r>
        <w:rPr>
          <w:sz w:val="24"/>
          <w:szCs w:val="24"/>
        </w:rPr>
        <w:fldChar w:fldCharType="begin"/>
      </w:r>
      <w:r>
        <w:rPr>
          <w:sz w:val="24"/>
          <w:szCs w:val="24"/>
        </w:rPr>
        <w:instrText xml:space="preserve"> PAGEREF _Toc43819489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21"/>
        <w:spacing w:line="360" w:lineRule="auto"/>
        <w:rPr>
          <w:rFonts w:asciiTheme="minorHAnsi" w:hAnsiTheme="minorHAnsi" w:eastAsiaTheme="minorEastAsia" w:cstheme="minorBidi"/>
          <w:sz w:val="24"/>
          <w:szCs w:val="24"/>
        </w:rPr>
      </w:pPr>
      <w:r>
        <w:fldChar w:fldCharType="begin"/>
      </w:r>
      <w:r>
        <w:instrText xml:space="preserve"> HYPERLINK \l "_Toc43819490" </w:instrText>
      </w:r>
      <w:r>
        <w:fldChar w:fldCharType="separate"/>
      </w:r>
      <w:r>
        <w:rPr>
          <w:rStyle w:val="33"/>
          <w:sz w:val="24"/>
          <w:szCs w:val="24"/>
        </w:rPr>
        <w:t xml:space="preserve">3  </w:t>
      </w:r>
      <w:r>
        <w:rPr>
          <w:rStyle w:val="33"/>
          <w:rFonts w:hint="eastAsia"/>
          <w:sz w:val="24"/>
          <w:szCs w:val="24"/>
        </w:rPr>
        <w:t>基本规定</w:t>
      </w:r>
      <w:r>
        <w:rPr>
          <w:sz w:val="24"/>
          <w:szCs w:val="24"/>
        </w:rPr>
        <w:tab/>
      </w:r>
      <w:r>
        <w:rPr>
          <w:sz w:val="24"/>
          <w:szCs w:val="24"/>
        </w:rPr>
        <w:fldChar w:fldCharType="begin"/>
      </w:r>
      <w:r>
        <w:rPr>
          <w:sz w:val="24"/>
          <w:szCs w:val="24"/>
        </w:rPr>
        <w:instrText xml:space="preserve"> PAGEREF _Toc43819490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21"/>
        <w:spacing w:line="360" w:lineRule="auto"/>
        <w:rPr>
          <w:rFonts w:asciiTheme="minorHAnsi" w:hAnsiTheme="minorHAnsi" w:eastAsiaTheme="minorEastAsia" w:cstheme="minorBidi"/>
          <w:sz w:val="24"/>
          <w:szCs w:val="24"/>
        </w:rPr>
      </w:pPr>
      <w:r>
        <w:fldChar w:fldCharType="begin"/>
      </w:r>
      <w:r>
        <w:instrText xml:space="preserve"> HYPERLINK \l "_Toc43819491" </w:instrText>
      </w:r>
      <w:r>
        <w:fldChar w:fldCharType="separate"/>
      </w:r>
      <w:r>
        <w:rPr>
          <w:rStyle w:val="33"/>
          <w:sz w:val="24"/>
          <w:szCs w:val="24"/>
        </w:rPr>
        <w:t xml:space="preserve">4  </w:t>
      </w:r>
      <w:r>
        <w:rPr>
          <w:rStyle w:val="33"/>
          <w:rFonts w:hint="eastAsia"/>
          <w:sz w:val="24"/>
          <w:szCs w:val="24"/>
        </w:rPr>
        <w:t>绝缘电阻检测</w:t>
      </w:r>
      <w:r>
        <w:rPr>
          <w:sz w:val="24"/>
          <w:szCs w:val="24"/>
        </w:rPr>
        <w:tab/>
      </w:r>
      <w:r>
        <w:rPr>
          <w:sz w:val="24"/>
          <w:szCs w:val="24"/>
        </w:rPr>
        <w:fldChar w:fldCharType="begin"/>
      </w:r>
      <w:r>
        <w:rPr>
          <w:sz w:val="24"/>
          <w:szCs w:val="24"/>
        </w:rPr>
        <w:instrText xml:space="preserve"> PAGEREF _Toc43819491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24"/>
        <w:tabs>
          <w:tab w:val="right" w:leader="dot" w:pos="9175"/>
        </w:tabs>
        <w:spacing w:line="360" w:lineRule="auto"/>
        <w:rPr>
          <w:rFonts w:asciiTheme="minorHAnsi" w:hAnsiTheme="minorHAnsi" w:eastAsiaTheme="minorEastAsia" w:cstheme="minorBidi"/>
          <w:sz w:val="24"/>
        </w:rPr>
      </w:pPr>
      <w:r>
        <w:fldChar w:fldCharType="begin"/>
      </w:r>
      <w:r>
        <w:instrText xml:space="preserve"> HYPERLINK \l "_Toc43819492" </w:instrText>
      </w:r>
      <w:r>
        <w:fldChar w:fldCharType="separate"/>
      </w:r>
      <w:r>
        <w:rPr>
          <w:rStyle w:val="33"/>
          <w:sz w:val="24"/>
        </w:rPr>
        <w:t>4.1</w:t>
      </w:r>
      <w:r>
        <w:rPr>
          <w:rStyle w:val="33"/>
          <w:rFonts w:hint="eastAsia"/>
          <w:sz w:val="24"/>
        </w:rPr>
        <w:t>检测设备</w:t>
      </w:r>
      <w:r>
        <w:rPr>
          <w:sz w:val="24"/>
        </w:rPr>
        <w:tab/>
      </w:r>
      <w:r>
        <w:rPr>
          <w:sz w:val="24"/>
        </w:rPr>
        <w:fldChar w:fldCharType="begin"/>
      </w:r>
      <w:r>
        <w:rPr>
          <w:sz w:val="24"/>
        </w:rPr>
        <w:instrText xml:space="preserve"> PAGEREF _Toc43819492 \h </w:instrText>
      </w:r>
      <w:r>
        <w:rPr>
          <w:sz w:val="24"/>
        </w:rPr>
        <w:fldChar w:fldCharType="separate"/>
      </w:r>
      <w:r>
        <w:rPr>
          <w:sz w:val="24"/>
        </w:rPr>
        <w:t>18</w:t>
      </w:r>
      <w:r>
        <w:rPr>
          <w:sz w:val="24"/>
        </w:rPr>
        <w:fldChar w:fldCharType="end"/>
      </w:r>
      <w:r>
        <w:rPr>
          <w:sz w:val="24"/>
        </w:rPr>
        <w:fldChar w:fldCharType="end"/>
      </w:r>
    </w:p>
    <w:p>
      <w:pPr>
        <w:pStyle w:val="24"/>
        <w:tabs>
          <w:tab w:val="right" w:leader="dot" w:pos="9175"/>
        </w:tabs>
        <w:spacing w:line="360" w:lineRule="auto"/>
        <w:rPr>
          <w:rFonts w:asciiTheme="minorHAnsi" w:hAnsiTheme="minorHAnsi" w:eastAsiaTheme="minorEastAsia" w:cstheme="minorBidi"/>
          <w:sz w:val="24"/>
        </w:rPr>
      </w:pPr>
      <w:r>
        <w:fldChar w:fldCharType="begin"/>
      </w:r>
      <w:r>
        <w:instrText xml:space="preserve"> HYPERLINK \l "_Toc43819493" </w:instrText>
      </w:r>
      <w:r>
        <w:fldChar w:fldCharType="separate"/>
      </w:r>
      <w:r>
        <w:rPr>
          <w:rStyle w:val="33"/>
          <w:sz w:val="24"/>
        </w:rPr>
        <w:t>4.2</w:t>
      </w:r>
      <w:r>
        <w:rPr>
          <w:rStyle w:val="33"/>
          <w:rFonts w:hint="eastAsia"/>
          <w:sz w:val="24"/>
        </w:rPr>
        <w:t>检测数量</w:t>
      </w:r>
      <w:r>
        <w:rPr>
          <w:sz w:val="24"/>
        </w:rPr>
        <w:tab/>
      </w:r>
      <w:r>
        <w:rPr>
          <w:sz w:val="24"/>
        </w:rPr>
        <w:fldChar w:fldCharType="begin"/>
      </w:r>
      <w:r>
        <w:rPr>
          <w:sz w:val="24"/>
        </w:rPr>
        <w:instrText xml:space="preserve"> PAGEREF _Toc43819493 \h </w:instrText>
      </w:r>
      <w:r>
        <w:rPr>
          <w:sz w:val="24"/>
        </w:rPr>
        <w:fldChar w:fldCharType="separate"/>
      </w:r>
      <w:r>
        <w:rPr>
          <w:sz w:val="24"/>
        </w:rPr>
        <w:t>18</w:t>
      </w:r>
      <w:r>
        <w:rPr>
          <w:sz w:val="24"/>
        </w:rPr>
        <w:fldChar w:fldCharType="end"/>
      </w:r>
      <w:r>
        <w:rPr>
          <w:sz w:val="24"/>
        </w:rPr>
        <w:fldChar w:fldCharType="end"/>
      </w:r>
    </w:p>
    <w:p>
      <w:pPr>
        <w:pStyle w:val="24"/>
        <w:tabs>
          <w:tab w:val="right" w:leader="dot" w:pos="9175"/>
        </w:tabs>
        <w:spacing w:line="360" w:lineRule="auto"/>
        <w:rPr>
          <w:rFonts w:asciiTheme="minorHAnsi" w:hAnsiTheme="minorHAnsi" w:eastAsiaTheme="minorEastAsia" w:cstheme="minorBidi"/>
          <w:sz w:val="24"/>
        </w:rPr>
      </w:pPr>
      <w:r>
        <w:fldChar w:fldCharType="begin"/>
      </w:r>
      <w:r>
        <w:instrText xml:space="preserve"> HYPERLINK \l "_Toc43819494" </w:instrText>
      </w:r>
      <w:r>
        <w:fldChar w:fldCharType="separate"/>
      </w:r>
      <w:r>
        <w:rPr>
          <w:rStyle w:val="33"/>
          <w:sz w:val="24"/>
        </w:rPr>
        <w:t>4.3</w:t>
      </w:r>
      <w:r>
        <w:rPr>
          <w:rStyle w:val="33"/>
          <w:rFonts w:hint="eastAsia"/>
          <w:sz w:val="24"/>
        </w:rPr>
        <w:t>环境条件</w:t>
      </w:r>
      <w:r>
        <w:rPr>
          <w:sz w:val="24"/>
        </w:rPr>
        <w:tab/>
      </w:r>
      <w:r>
        <w:rPr>
          <w:sz w:val="24"/>
        </w:rPr>
        <w:fldChar w:fldCharType="begin"/>
      </w:r>
      <w:r>
        <w:rPr>
          <w:sz w:val="24"/>
        </w:rPr>
        <w:instrText xml:space="preserve"> PAGEREF _Toc43819494 \h </w:instrText>
      </w:r>
      <w:r>
        <w:rPr>
          <w:sz w:val="24"/>
        </w:rPr>
        <w:fldChar w:fldCharType="separate"/>
      </w:r>
      <w:r>
        <w:rPr>
          <w:sz w:val="24"/>
        </w:rPr>
        <w:t>18</w:t>
      </w:r>
      <w:r>
        <w:rPr>
          <w:sz w:val="24"/>
        </w:rPr>
        <w:fldChar w:fldCharType="end"/>
      </w:r>
      <w:r>
        <w:rPr>
          <w:sz w:val="24"/>
        </w:rPr>
        <w:fldChar w:fldCharType="end"/>
      </w:r>
    </w:p>
    <w:p>
      <w:pPr>
        <w:pStyle w:val="24"/>
        <w:tabs>
          <w:tab w:val="right" w:leader="dot" w:pos="9175"/>
        </w:tabs>
        <w:spacing w:line="360" w:lineRule="auto"/>
        <w:rPr>
          <w:rFonts w:asciiTheme="minorHAnsi" w:hAnsiTheme="minorHAnsi" w:eastAsiaTheme="minorEastAsia" w:cstheme="minorBidi"/>
          <w:sz w:val="24"/>
        </w:rPr>
      </w:pPr>
      <w:r>
        <w:fldChar w:fldCharType="begin"/>
      </w:r>
      <w:r>
        <w:instrText xml:space="preserve"> HYPERLINK \l "_Toc43819495" </w:instrText>
      </w:r>
      <w:r>
        <w:fldChar w:fldCharType="separate"/>
      </w:r>
      <w:r>
        <w:rPr>
          <w:rStyle w:val="33"/>
          <w:sz w:val="24"/>
        </w:rPr>
        <w:t>4.4</w:t>
      </w:r>
      <w:r>
        <w:rPr>
          <w:rStyle w:val="33"/>
          <w:rFonts w:hint="eastAsia"/>
          <w:sz w:val="24"/>
        </w:rPr>
        <w:t>检测方法及要求</w:t>
      </w:r>
      <w:r>
        <w:rPr>
          <w:sz w:val="24"/>
        </w:rPr>
        <w:tab/>
      </w:r>
      <w:r>
        <w:rPr>
          <w:sz w:val="24"/>
        </w:rPr>
        <w:fldChar w:fldCharType="begin"/>
      </w:r>
      <w:r>
        <w:rPr>
          <w:sz w:val="24"/>
        </w:rPr>
        <w:instrText xml:space="preserve"> PAGEREF _Toc43819495 \h </w:instrText>
      </w:r>
      <w:r>
        <w:rPr>
          <w:sz w:val="24"/>
        </w:rPr>
        <w:fldChar w:fldCharType="separate"/>
      </w:r>
      <w:r>
        <w:rPr>
          <w:sz w:val="24"/>
        </w:rPr>
        <w:t>18</w:t>
      </w:r>
      <w:r>
        <w:rPr>
          <w:sz w:val="24"/>
        </w:rPr>
        <w:fldChar w:fldCharType="end"/>
      </w:r>
      <w:r>
        <w:rPr>
          <w:sz w:val="24"/>
        </w:rPr>
        <w:fldChar w:fldCharType="end"/>
      </w:r>
    </w:p>
    <w:p>
      <w:pPr>
        <w:pStyle w:val="21"/>
        <w:spacing w:line="360" w:lineRule="auto"/>
        <w:rPr>
          <w:rFonts w:asciiTheme="minorHAnsi" w:hAnsiTheme="minorHAnsi" w:eastAsiaTheme="minorEastAsia" w:cstheme="minorBidi"/>
          <w:sz w:val="24"/>
          <w:szCs w:val="24"/>
        </w:rPr>
      </w:pPr>
      <w:r>
        <w:fldChar w:fldCharType="begin"/>
      </w:r>
      <w:r>
        <w:instrText xml:space="preserve"> HYPERLINK \l "_Toc43819496" </w:instrText>
      </w:r>
      <w:r>
        <w:fldChar w:fldCharType="separate"/>
      </w:r>
      <w:r>
        <w:rPr>
          <w:rStyle w:val="33"/>
          <w:sz w:val="24"/>
          <w:szCs w:val="24"/>
        </w:rPr>
        <w:t xml:space="preserve">5  </w:t>
      </w:r>
      <w:r>
        <w:rPr>
          <w:rStyle w:val="33"/>
          <w:rFonts w:hint="eastAsia"/>
          <w:sz w:val="24"/>
          <w:szCs w:val="24"/>
        </w:rPr>
        <w:t>接地电阻检测</w:t>
      </w:r>
      <w:r>
        <w:rPr>
          <w:sz w:val="24"/>
          <w:szCs w:val="24"/>
        </w:rPr>
        <w:tab/>
      </w:r>
      <w:r>
        <w:rPr>
          <w:sz w:val="24"/>
          <w:szCs w:val="24"/>
        </w:rPr>
        <w:fldChar w:fldCharType="begin"/>
      </w:r>
      <w:r>
        <w:rPr>
          <w:sz w:val="24"/>
          <w:szCs w:val="24"/>
        </w:rPr>
        <w:instrText xml:space="preserve"> PAGEREF _Toc43819496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24"/>
        <w:tabs>
          <w:tab w:val="right" w:leader="dot" w:pos="9175"/>
        </w:tabs>
        <w:spacing w:line="360" w:lineRule="auto"/>
        <w:rPr>
          <w:rFonts w:asciiTheme="minorHAnsi" w:hAnsiTheme="minorHAnsi" w:eastAsiaTheme="minorEastAsia" w:cstheme="minorBidi"/>
          <w:sz w:val="24"/>
        </w:rPr>
      </w:pPr>
      <w:r>
        <w:fldChar w:fldCharType="begin"/>
      </w:r>
      <w:r>
        <w:instrText xml:space="preserve"> HYPERLINK \l "_Toc43819497" </w:instrText>
      </w:r>
      <w:r>
        <w:fldChar w:fldCharType="separate"/>
      </w:r>
      <w:r>
        <w:rPr>
          <w:rStyle w:val="33"/>
          <w:sz w:val="24"/>
        </w:rPr>
        <w:t xml:space="preserve">5.1 </w:t>
      </w:r>
      <w:r>
        <w:rPr>
          <w:rStyle w:val="33"/>
          <w:rFonts w:hint="eastAsia"/>
          <w:sz w:val="24"/>
        </w:rPr>
        <w:t>检测仪器</w:t>
      </w:r>
      <w:r>
        <w:rPr>
          <w:sz w:val="24"/>
        </w:rPr>
        <w:tab/>
      </w:r>
      <w:r>
        <w:rPr>
          <w:sz w:val="24"/>
        </w:rPr>
        <w:fldChar w:fldCharType="begin"/>
      </w:r>
      <w:r>
        <w:rPr>
          <w:sz w:val="24"/>
        </w:rPr>
        <w:instrText xml:space="preserve"> PAGEREF _Toc43819497 \h </w:instrText>
      </w:r>
      <w:r>
        <w:rPr>
          <w:sz w:val="24"/>
        </w:rPr>
        <w:fldChar w:fldCharType="separate"/>
      </w:r>
      <w:r>
        <w:rPr>
          <w:sz w:val="24"/>
        </w:rPr>
        <w:t>19</w:t>
      </w:r>
      <w:r>
        <w:rPr>
          <w:sz w:val="24"/>
        </w:rPr>
        <w:fldChar w:fldCharType="end"/>
      </w:r>
      <w:r>
        <w:rPr>
          <w:sz w:val="24"/>
        </w:rPr>
        <w:fldChar w:fldCharType="end"/>
      </w:r>
    </w:p>
    <w:p>
      <w:pPr>
        <w:pStyle w:val="24"/>
        <w:tabs>
          <w:tab w:val="right" w:leader="dot" w:pos="9175"/>
        </w:tabs>
        <w:spacing w:line="360" w:lineRule="auto"/>
        <w:rPr>
          <w:rFonts w:asciiTheme="minorHAnsi" w:hAnsiTheme="minorHAnsi" w:eastAsiaTheme="minorEastAsia" w:cstheme="minorBidi"/>
          <w:sz w:val="24"/>
        </w:rPr>
      </w:pPr>
      <w:r>
        <w:fldChar w:fldCharType="begin"/>
      </w:r>
      <w:r>
        <w:instrText xml:space="preserve"> HYPERLINK \l "_Toc43819498" </w:instrText>
      </w:r>
      <w:r>
        <w:fldChar w:fldCharType="separate"/>
      </w:r>
      <w:r>
        <w:rPr>
          <w:rStyle w:val="33"/>
          <w:sz w:val="24"/>
        </w:rPr>
        <w:t xml:space="preserve">5.2 </w:t>
      </w:r>
      <w:r>
        <w:rPr>
          <w:rStyle w:val="33"/>
          <w:rFonts w:hint="eastAsia"/>
          <w:sz w:val="24"/>
        </w:rPr>
        <w:t>抽检数量</w:t>
      </w:r>
      <w:r>
        <w:rPr>
          <w:sz w:val="24"/>
        </w:rPr>
        <w:tab/>
      </w:r>
      <w:r>
        <w:rPr>
          <w:sz w:val="24"/>
        </w:rPr>
        <w:fldChar w:fldCharType="begin"/>
      </w:r>
      <w:r>
        <w:rPr>
          <w:sz w:val="24"/>
        </w:rPr>
        <w:instrText xml:space="preserve"> PAGEREF _Toc43819498 \h </w:instrText>
      </w:r>
      <w:r>
        <w:rPr>
          <w:sz w:val="24"/>
        </w:rPr>
        <w:fldChar w:fldCharType="separate"/>
      </w:r>
      <w:r>
        <w:rPr>
          <w:sz w:val="24"/>
        </w:rPr>
        <w:t>19</w:t>
      </w:r>
      <w:r>
        <w:rPr>
          <w:sz w:val="24"/>
        </w:rPr>
        <w:fldChar w:fldCharType="end"/>
      </w:r>
      <w:r>
        <w:rPr>
          <w:sz w:val="24"/>
        </w:rPr>
        <w:fldChar w:fldCharType="end"/>
      </w:r>
    </w:p>
    <w:p>
      <w:pPr>
        <w:pStyle w:val="24"/>
        <w:tabs>
          <w:tab w:val="right" w:leader="dot" w:pos="9175"/>
        </w:tabs>
        <w:spacing w:line="360" w:lineRule="auto"/>
        <w:rPr>
          <w:rFonts w:asciiTheme="minorHAnsi" w:hAnsiTheme="minorHAnsi" w:eastAsiaTheme="minorEastAsia" w:cstheme="minorBidi"/>
          <w:sz w:val="24"/>
        </w:rPr>
      </w:pPr>
      <w:r>
        <w:fldChar w:fldCharType="begin"/>
      </w:r>
      <w:r>
        <w:instrText xml:space="preserve"> HYPERLINK \l "_Toc43819499" </w:instrText>
      </w:r>
      <w:r>
        <w:fldChar w:fldCharType="separate"/>
      </w:r>
      <w:r>
        <w:rPr>
          <w:rStyle w:val="33"/>
          <w:sz w:val="24"/>
        </w:rPr>
        <w:t xml:space="preserve">5.3 </w:t>
      </w:r>
      <w:r>
        <w:rPr>
          <w:rStyle w:val="33"/>
          <w:rFonts w:hint="eastAsia"/>
          <w:sz w:val="24"/>
        </w:rPr>
        <w:t>环境条件</w:t>
      </w:r>
      <w:r>
        <w:rPr>
          <w:sz w:val="24"/>
        </w:rPr>
        <w:tab/>
      </w:r>
      <w:r>
        <w:rPr>
          <w:sz w:val="24"/>
        </w:rPr>
        <w:fldChar w:fldCharType="begin"/>
      </w:r>
      <w:r>
        <w:rPr>
          <w:sz w:val="24"/>
        </w:rPr>
        <w:instrText xml:space="preserve"> PAGEREF _Toc43819499 \h </w:instrText>
      </w:r>
      <w:r>
        <w:rPr>
          <w:sz w:val="24"/>
        </w:rPr>
        <w:fldChar w:fldCharType="separate"/>
      </w:r>
      <w:r>
        <w:rPr>
          <w:sz w:val="24"/>
        </w:rPr>
        <w:t>19</w:t>
      </w:r>
      <w:r>
        <w:rPr>
          <w:sz w:val="24"/>
        </w:rPr>
        <w:fldChar w:fldCharType="end"/>
      </w:r>
      <w:r>
        <w:rPr>
          <w:sz w:val="24"/>
        </w:rPr>
        <w:fldChar w:fldCharType="end"/>
      </w:r>
    </w:p>
    <w:p>
      <w:pPr>
        <w:pStyle w:val="24"/>
        <w:tabs>
          <w:tab w:val="right" w:leader="dot" w:pos="9175"/>
        </w:tabs>
        <w:spacing w:line="360" w:lineRule="auto"/>
        <w:rPr>
          <w:rFonts w:asciiTheme="minorHAnsi" w:hAnsiTheme="minorHAnsi" w:eastAsiaTheme="minorEastAsia" w:cstheme="minorBidi"/>
          <w:sz w:val="24"/>
        </w:rPr>
      </w:pPr>
      <w:r>
        <w:fldChar w:fldCharType="begin"/>
      </w:r>
      <w:r>
        <w:instrText xml:space="preserve"> HYPERLINK \l "_Toc43819500" </w:instrText>
      </w:r>
      <w:r>
        <w:fldChar w:fldCharType="separate"/>
      </w:r>
      <w:r>
        <w:rPr>
          <w:rStyle w:val="33"/>
          <w:sz w:val="24"/>
        </w:rPr>
        <w:t xml:space="preserve">5.4 </w:t>
      </w:r>
      <w:r>
        <w:rPr>
          <w:rStyle w:val="33"/>
          <w:rFonts w:hint="eastAsia"/>
          <w:sz w:val="24"/>
        </w:rPr>
        <w:t>检测方法及要求</w:t>
      </w:r>
      <w:r>
        <w:rPr>
          <w:sz w:val="24"/>
        </w:rPr>
        <w:tab/>
      </w:r>
      <w:r>
        <w:rPr>
          <w:sz w:val="24"/>
        </w:rPr>
        <w:fldChar w:fldCharType="begin"/>
      </w:r>
      <w:r>
        <w:rPr>
          <w:sz w:val="24"/>
        </w:rPr>
        <w:instrText xml:space="preserve"> PAGEREF _Toc43819500 \h </w:instrText>
      </w:r>
      <w:r>
        <w:rPr>
          <w:sz w:val="24"/>
        </w:rPr>
        <w:fldChar w:fldCharType="separate"/>
      </w:r>
      <w:r>
        <w:rPr>
          <w:sz w:val="24"/>
        </w:rPr>
        <w:t>20</w:t>
      </w:r>
      <w:r>
        <w:rPr>
          <w:sz w:val="24"/>
        </w:rPr>
        <w:fldChar w:fldCharType="end"/>
      </w:r>
      <w:r>
        <w:rPr>
          <w:sz w:val="24"/>
        </w:rPr>
        <w:fldChar w:fldCharType="end"/>
      </w:r>
    </w:p>
    <w:p>
      <w:pPr>
        <w:pStyle w:val="24"/>
        <w:tabs>
          <w:tab w:val="right" w:leader="dot" w:pos="9175"/>
        </w:tabs>
        <w:spacing w:line="360" w:lineRule="auto"/>
        <w:rPr>
          <w:rFonts w:asciiTheme="minorHAnsi" w:hAnsiTheme="minorHAnsi" w:eastAsiaTheme="minorEastAsia" w:cstheme="minorBidi"/>
          <w:sz w:val="24"/>
        </w:rPr>
      </w:pPr>
      <w:r>
        <w:fldChar w:fldCharType="begin"/>
      </w:r>
      <w:r>
        <w:instrText xml:space="preserve"> HYPERLINK \l "_Toc43819501" </w:instrText>
      </w:r>
      <w:r>
        <w:fldChar w:fldCharType="separate"/>
      </w:r>
      <w:r>
        <w:rPr>
          <w:rStyle w:val="33"/>
          <w:sz w:val="24"/>
        </w:rPr>
        <w:t xml:space="preserve">5.5 </w:t>
      </w:r>
      <w:r>
        <w:rPr>
          <w:rStyle w:val="33"/>
          <w:rFonts w:hint="eastAsia"/>
          <w:sz w:val="24"/>
        </w:rPr>
        <w:t>结果判定</w:t>
      </w:r>
      <w:r>
        <w:rPr>
          <w:sz w:val="24"/>
        </w:rPr>
        <w:tab/>
      </w:r>
      <w:r>
        <w:rPr>
          <w:sz w:val="24"/>
        </w:rPr>
        <w:fldChar w:fldCharType="begin"/>
      </w:r>
      <w:r>
        <w:rPr>
          <w:sz w:val="24"/>
        </w:rPr>
        <w:instrText xml:space="preserve"> PAGEREF _Toc43819501 \h </w:instrText>
      </w:r>
      <w:r>
        <w:rPr>
          <w:sz w:val="24"/>
        </w:rPr>
        <w:fldChar w:fldCharType="separate"/>
      </w:r>
      <w:r>
        <w:rPr>
          <w:sz w:val="24"/>
        </w:rPr>
        <w:t>20</w:t>
      </w:r>
      <w:r>
        <w:rPr>
          <w:sz w:val="24"/>
        </w:rPr>
        <w:fldChar w:fldCharType="end"/>
      </w:r>
      <w:r>
        <w:rPr>
          <w:sz w:val="24"/>
        </w:rPr>
        <w:fldChar w:fldCharType="end"/>
      </w:r>
    </w:p>
    <w:p>
      <w:pPr>
        <w:pStyle w:val="3"/>
        <w:spacing w:before="480" w:after="120" w:line="360" w:lineRule="auto"/>
        <w:rPr>
          <w:sz w:val="24"/>
          <w:szCs w:val="24"/>
        </w:rPr>
      </w:pPr>
      <w:r>
        <w:rPr>
          <w:sz w:val="24"/>
          <w:szCs w:val="24"/>
        </w:rPr>
        <w:fldChar w:fldCharType="end"/>
      </w:r>
    </w:p>
    <w:p>
      <w:pPr>
        <w:pStyle w:val="3"/>
        <w:spacing w:before="480" w:after="120"/>
      </w:pPr>
    </w:p>
    <w:p>
      <w:pPr>
        <w:pStyle w:val="3"/>
        <w:spacing w:before="480" w:after="120"/>
      </w:pPr>
    </w:p>
    <w:p>
      <w:pPr>
        <w:pStyle w:val="3"/>
        <w:spacing w:before="480" w:after="120"/>
      </w:pPr>
    </w:p>
    <w:p/>
    <w:p/>
    <w:p/>
    <w:p/>
    <w:p/>
    <w:p/>
    <w:p/>
    <w:p/>
    <w:p>
      <w:pPr>
        <w:pStyle w:val="2"/>
        <w:spacing w:before="240" w:after="360"/>
        <w:rPr>
          <w:rFonts w:ascii="宋体" w:hAnsi="宋体"/>
          <w:sz w:val="24"/>
          <w:szCs w:val="24"/>
        </w:rPr>
      </w:pPr>
      <w:bookmarkStart w:id="51" w:name="_Toc43819489"/>
      <w:bookmarkStart w:id="52" w:name="_Toc43819634"/>
      <w:r>
        <w:rPr>
          <w:rFonts w:hint="eastAsia"/>
        </w:rPr>
        <w:t>1  总  则</w:t>
      </w:r>
      <w:bookmarkEnd w:id="50"/>
      <w:bookmarkEnd w:id="51"/>
      <w:bookmarkEnd w:id="52"/>
    </w:p>
    <w:p>
      <w:pPr>
        <w:adjustRightInd w:val="0"/>
        <w:snapToGrid w:val="0"/>
        <w:spacing w:line="440" w:lineRule="atLeast"/>
        <w:rPr>
          <w:rFonts w:ascii="宋体" w:hAnsi="宋体"/>
          <w:color w:val="000000"/>
          <w:sz w:val="24"/>
          <w:szCs w:val="24"/>
        </w:rPr>
      </w:pPr>
      <w:r>
        <w:rPr>
          <w:rFonts w:ascii="宋体" w:hAnsi="宋体"/>
          <w:b/>
          <w:color w:val="000000"/>
          <w:sz w:val="24"/>
          <w:szCs w:val="24"/>
        </w:rPr>
        <w:t>1</w:t>
      </w:r>
      <w:r>
        <w:rPr>
          <w:rFonts w:hint="eastAsia" w:ascii="宋体" w:hAnsi="宋体"/>
          <w:b/>
          <w:color w:val="000000"/>
          <w:sz w:val="24"/>
          <w:szCs w:val="24"/>
        </w:rPr>
        <w:t>.0.1</w:t>
      </w:r>
      <w:r>
        <w:rPr>
          <w:rFonts w:hint="eastAsia" w:ascii="宋体" w:hAnsi="宋体"/>
          <w:color w:val="000000"/>
          <w:sz w:val="24"/>
          <w:szCs w:val="24"/>
        </w:rPr>
        <w:t xml:space="preserve">  </w:t>
      </w:r>
      <w:r>
        <w:rPr>
          <w:rFonts w:ascii="宋体" w:hAnsi="宋体"/>
          <w:color w:val="000000"/>
          <w:sz w:val="24"/>
          <w:szCs w:val="24"/>
        </w:rPr>
        <w:t>建筑电气安装工程作为建筑工程中的重要分项工程，其工程质量对于建筑工程整体使用性能</w:t>
      </w:r>
      <w:r>
        <w:rPr>
          <w:rFonts w:hint="eastAsia" w:ascii="宋体" w:hAnsi="宋体"/>
          <w:color w:val="000000"/>
          <w:sz w:val="24"/>
          <w:szCs w:val="24"/>
        </w:rPr>
        <w:t>、</w:t>
      </w:r>
      <w:r>
        <w:rPr>
          <w:rFonts w:ascii="宋体" w:hAnsi="宋体"/>
          <w:color w:val="000000"/>
          <w:sz w:val="24"/>
          <w:szCs w:val="24"/>
        </w:rPr>
        <w:t>安全性能具有重要的影响。配电回路线间绝缘电阻、保护接地电阻、防雷接地电阻是否符合标准和设计的要求，是衡量建筑电气工程总体质量重要技术指标</w:t>
      </w:r>
      <w:r>
        <w:rPr>
          <w:rFonts w:hint="eastAsia" w:ascii="宋体" w:hAnsi="宋体"/>
          <w:color w:val="000000"/>
          <w:sz w:val="24"/>
          <w:szCs w:val="24"/>
        </w:rPr>
        <w:t>，检测结果是否准确很重要，因此检测方法必须规范统一。</w:t>
      </w:r>
    </w:p>
    <w:p>
      <w:pPr>
        <w:adjustRightInd w:val="0"/>
        <w:snapToGrid w:val="0"/>
        <w:spacing w:line="440" w:lineRule="atLeast"/>
        <w:rPr>
          <w:rFonts w:ascii="宋体" w:hAnsi="宋体"/>
          <w:color w:val="000000"/>
          <w:sz w:val="24"/>
          <w:szCs w:val="24"/>
        </w:rPr>
      </w:pPr>
      <w:r>
        <w:rPr>
          <w:rFonts w:hint="eastAsia" w:ascii="宋体" w:hAnsi="宋体"/>
          <w:b/>
          <w:color w:val="000000"/>
          <w:sz w:val="24"/>
          <w:szCs w:val="24"/>
        </w:rPr>
        <w:t>1.</w:t>
      </w:r>
      <w:r>
        <w:rPr>
          <w:rFonts w:ascii="宋体" w:hAnsi="宋体"/>
          <w:b/>
          <w:color w:val="000000"/>
          <w:sz w:val="24"/>
          <w:szCs w:val="24"/>
        </w:rPr>
        <w:t>0.2</w:t>
      </w:r>
      <w:r>
        <w:rPr>
          <w:rFonts w:ascii="宋体" w:hAnsi="宋体"/>
          <w:color w:val="000000"/>
          <w:sz w:val="24"/>
          <w:szCs w:val="24"/>
        </w:rPr>
        <w:t xml:space="preserve">  本</w:t>
      </w:r>
      <w:r>
        <w:rPr>
          <w:rFonts w:hint="eastAsia" w:ascii="宋体" w:hAnsi="宋体"/>
          <w:color w:val="000000"/>
          <w:sz w:val="24"/>
          <w:szCs w:val="24"/>
        </w:rPr>
        <w:t>条规定了</w:t>
      </w:r>
      <w:r>
        <w:rPr>
          <w:rFonts w:ascii="宋体" w:hAnsi="宋体"/>
          <w:color w:val="000000"/>
          <w:sz w:val="24"/>
          <w:szCs w:val="24"/>
        </w:rPr>
        <w:t>适用于低压用电系统的建筑电气施工质量检测</w:t>
      </w:r>
      <w:r>
        <w:rPr>
          <w:rFonts w:hint="eastAsia" w:ascii="宋体" w:hAnsi="宋体"/>
          <w:color w:val="000000"/>
          <w:sz w:val="24"/>
          <w:szCs w:val="24"/>
        </w:rPr>
        <w:t>及新建、改建、扩建、既有建筑的民用和工业建筑工程的范围。</w:t>
      </w:r>
    </w:p>
    <w:p>
      <w:pPr>
        <w:adjustRightInd w:val="0"/>
        <w:snapToGrid w:val="0"/>
        <w:spacing w:line="440" w:lineRule="atLeast"/>
        <w:rPr>
          <w:rFonts w:ascii="宋体" w:hAnsi="宋体"/>
          <w:color w:val="000000"/>
          <w:sz w:val="24"/>
          <w:szCs w:val="24"/>
        </w:rPr>
      </w:pPr>
      <w:r>
        <w:rPr>
          <w:rFonts w:hint="eastAsia" w:ascii="宋体" w:hAnsi="宋体"/>
          <w:b/>
          <w:color w:val="000000"/>
          <w:sz w:val="24"/>
          <w:szCs w:val="24"/>
        </w:rPr>
        <w:t>1.0.3</w:t>
      </w:r>
      <w:r>
        <w:rPr>
          <w:rFonts w:hint="eastAsia" w:ascii="宋体" w:hAnsi="宋体"/>
          <w:color w:val="000000"/>
          <w:sz w:val="24"/>
          <w:szCs w:val="24"/>
        </w:rPr>
        <w:t xml:space="preserve"> </w:t>
      </w:r>
      <w:r>
        <w:rPr>
          <w:rFonts w:ascii="宋体" w:hAnsi="宋体"/>
          <w:color w:val="000000"/>
          <w:sz w:val="24"/>
          <w:szCs w:val="24"/>
        </w:rPr>
        <w:t xml:space="preserve"> </w:t>
      </w:r>
      <w:r>
        <w:rPr>
          <w:rFonts w:hint="eastAsia" w:ascii="宋体" w:hAnsi="宋体"/>
          <w:color w:val="000000"/>
          <w:sz w:val="24"/>
          <w:szCs w:val="24"/>
        </w:rPr>
        <w:t>本条限制了本规程的适用范围，本规程</w:t>
      </w:r>
      <w:r>
        <w:rPr>
          <w:rFonts w:ascii="宋体" w:hAnsi="宋体"/>
          <w:color w:val="000000"/>
          <w:sz w:val="24"/>
          <w:szCs w:val="24"/>
        </w:rPr>
        <w:t>只适应于常规用途的工业与民用建筑，不适用于具有特殊安全等级要求的化学危险品场所、矿井井下、爆炸危险性场所、静电等电气施工质量检测</w:t>
      </w:r>
      <w:r>
        <w:rPr>
          <w:rFonts w:hint="eastAsia" w:ascii="宋体" w:hAnsi="宋体"/>
          <w:color w:val="000000"/>
          <w:sz w:val="24"/>
          <w:szCs w:val="24"/>
        </w:rPr>
        <w:t>。</w:t>
      </w:r>
    </w:p>
    <w:p>
      <w:pPr>
        <w:adjustRightInd w:val="0"/>
        <w:snapToGrid w:val="0"/>
        <w:spacing w:line="440" w:lineRule="atLeast"/>
        <w:rPr>
          <w:rFonts w:ascii="宋体" w:hAnsi="宋体"/>
          <w:color w:val="000000"/>
          <w:sz w:val="24"/>
          <w:szCs w:val="24"/>
        </w:rPr>
      </w:pPr>
      <w:r>
        <w:rPr>
          <w:rFonts w:hint="eastAsia" w:ascii="宋体" w:hAnsi="宋体"/>
          <w:b/>
          <w:color w:val="000000"/>
          <w:sz w:val="24"/>
          <w:szCs w:val="24"/>
        </w:rPr>
        <w:t>1.0.4</w:t>
      </w:r>
      <w:r>
        <w:rPr>
          <w:rFonts w:hint="eastAsia" w:ascii="宋体" w:hAnsi="宋体"/>
          <w:color w:val="000000"/>
          <w:sz w:val="24"/>
          <w:szCs w:val="24"/>
        </w:rPr>
        <w:t xml:space="preserve"> </w:t>
      </w:r>
      <w:r>
        <w:rPr>
          <w:rFonts w:ascii="宋体" w:hAnsi="宋体"/>
          <w:color w:val="000000"/>
          <w:sz w:val="24"/>
          <w:szCs w:val="24"/>
        </w:rPr>
        <w:t xml:space="preserve"> </w:t>
      </w:r>
      <w:r>
        <w:rPr>
          <w:rFonts w:hint="eastAsia" w:ascii="宋体" w:hAnsi="宋体"/>
          <w:color w:val="000000"/>
          <w:sz w:val="24"/>
          <w:szCs w:val="24"/>
        </w:rPr>
        <w:t>建筑电气工程</w:t>
      </w:r>
      <w:r>
        <w:rPr>
          <w:rFonts w:ascii="宋体" w:hAnsi="宋体"/>
          <w:color w:val="000000"/>
          <w:sz w:val="24"/>
          <w:szCs w:val="24"/>
        </w:rPr>
        <w:t>绝缘电阻和接地电阻检测除应按</w:t>
      </w:r>
      <w:r>
        <w:rPr>
          <w:rFonts w:hint="eastAsia" w:ascii="宋体" w:hAnsi="宋体"/>
          <w:color w:val="000000"/>
          <w:sz w:val="24"/>
          <w:szCs w:val="24"/>
        </w:rPr>
        <w:t>本规程</w:t>
      </w:r>
      <w:r>
        <w:rPr>
          <w:rFonts w:ascii="宋体" w:hAnsi="宋体"/>
          <w:color w:val="000000"/>
          <w:sz w:val="24"/>
          <w:szCs w:val="24"/>
        </w:rPr>
        <w:t>进行，</w:t>
      </w:r>
      <w:r>
        <w:rPr>
          <w:rFonts w:hint="eastAsia" w:ascii="宋体" w:hAnsi="宋体"/>
          <w:color w:val="000000"/>
          <w:sz w:val="24"/>
          <w:szCs w:val="24"/>
        </w:rPr>
        <w:t>尚</w:t>
      </w:r>
      <w:r>
        <w:rPr>
          <w:rFonts w:ascii="宋体" w:hAnsi="宋体"/>
          <w:color w:val="000000"/>
          <w:sz w:val="24"/>
          <w:szCs w:val="24"/>
        </w:rPr>
        <w:t>应符合国家现行的有关强制性规范（标准）规定</w:t>
      </w:r>
      <w:r>
        <w:rPr>
          <w:rFonts w:hint="eastAsia" w:ascii="宋体" w:hAnsi="宋体"/>
          <w:color w:val="000000"/>
          <w:sz w:val="24"/>
          <w:szCs w:val="24"/>
        </w:rPr>
        <w:t>。</w:t>
      </w:r>
    </w:p>
    <w:p>
      <w:pPr>
        <w:pStyle w:val="2"/>
        <w:spacing w:before="240" w:after="360"/>
      </w:pPr>
      <w:bookmarkStart w:id="53" w:name="_Toc457727993"/>
      <w:bookmarkStart w:id="54" w:name="_Toc43819490"/>
      <w:bookmarkStart w:id="55" w:name="_Toc43819635"/>
      <w:r>
        <w:rPr>
          <w:rFonts w:hint="eastAsia"/>
        </w:rPr>
        <w:t xml:space="preserve">3  </w:t>
      </w:r>
      <w:bookmarkEnd w:id="53"/>
      <w:r>
        <w:t>基本规定</w:t>
      </w:r>
      <w:bookmarkEnd w:id="54"/>
      <w:bookmarkEnd w:id="55"/>
    </w:p>
    <w:p>
      <w:pPr>
        <w:adjustRightInd w:val="0"/>
        <w:snapToGrid w:val="0"/>
        <w:spacing w:line="440" w:lineRule="atLeast"/>
        <w:rPr>
          <w:rFonts w:ascii="宋体" w:hAnsi="宋体"/>
          <w:color w:val="000000"/>
          <w:sz w:val="24"/>
          <w:szCs w:val="24"/>
        </w:rPr>
      </w:pPr>
      <w:r>
        <w:rPr>
          <w:rFonts w:hint="eastAsia" w:ascii="宋体" w:hAnsi="宋体"/>
          <w:b/>
          <w:color w:val="000000"/>
          <w:sz w:val="24"/>
          <w:szCs w:val="24"/>
        </w:rPr>
        <w:t>3.0.1</w:t>
      </w:r>
      <w:r>
        <w:rPr>
          <w:rFonts w:hint="eastAsia" w:ascii="宋体" w:hAnsi="宋体"/>
          <w:color w:val="000000"/>
          <w:sz w:val="24"/>
          <w:szCs w:val="24"/>
        </w:rPr>
        <w:t xml:space="preserve">  本条规定了新建、改建、扩建、既有建筑等建筑工程须在竣工前进行绝缘电阻和接地电阻检测。</w:t>
      </w:r>
    </w:p>
    <w:p>
      <w:pPr>
        <w:adjustRightInd w:val="0"/>
        <w:snapToGrid w:val="0"/>
        <w:spacing w:line="440" w:lineRule="atLeast"/>
        <w:rPr>
          <w:rFonts w:ascii="宋体" w:hAnsi="宋体"/>
          <w:color w:val="000000"/>
          <w:sz w:val="24"/>
          <w:szCs w:val="24"/>
        </w:rPr>
      </w:pPr>
      <w:r>
        <w:rPr>
          <w:rFonts w:hint="eastAsia" w:ascii="宋体" w:hAnsi="宋体"/>
          <w:b/>
          <w:color w:val="000000"/>
          <w:sz w:val="24"/>
          <w:szCs w:val="24"/>
        </w:rPr>
        <w:t>3.</w:t>
      </w:r>
      <w:r>
        <w:rPr>
          <w:rFonts w:ascii="宋体" w:hAnsi="宋体"/>
          <w:b/>
          <w:color w:val="000000"/>
          <w:sz w:val="24"/>
          <w:szCs w:val="24"/>
        </w:rPr>
        <w:t>0</w:t>
      </w:r>
      <w:r>
        <w:rPr>
          <w:rFonts w:hint="eastAsia" w:ascii="宋体" w:hAnsi="宋体"/>
          <w:b/>
          <w:color w:val="000000"/>
          <w:sz w:val="24"/>
          <w:szCs w:val="24"/>
        </w:rPr>
        <w:t>.</w:t>
      </w:r>
      <w:r>
        <w:rPr>
          <w:rFonts w:ascii="宋体" w:hAnsi="宋体"/>
          <w:b/>
          <w:color w:val="000000"/>
          <w:sz w:val="24"/>
          <w:szCs w:val="24"/>
        </w:rPr>
        <w:t>2</w:t>
      </w:r>
      <w:r>
        <w:rPr>
          <w:rFonts w:hint="eastAsia" w:ascii="宋体" w:hAnsi="宋体"/>
          <w:color w:val="000000"/>
          <w:sz w:val="24"/>
          <w:szCs w:val="24"/>
        </w:rPr>
        <w:t xml:space="preserve">  检测人员必须具备理论基础和实际操作能力并按照规程要求进行检测才能获得准确数据。因此本条规定要求检测人员需经培训并考核合格后，持证上岗。</w:t>
      </w:r>
    </w:p>
    <w:p>
      <w:pPr>
        <w:adjustRightInd w:val="0"/>
        <w:snapToGrid w:val="0"/>
        <w:spacing w:line="440" w:lineRule="atLeast"/>
        <w:rPr>
          <w:rFonts w:ascii="宋体" w:hAnsi="宋体"/>
          <w:color w:val="000000"/>
          <w:sz w:val="24"/>
          <w:szCs w:val="24"/>
        </w:rPr>
      </w:pPr>
      <w:r>
        <w:rPr>
          <w:rFonts w:hint="eastAsia" w:ascii="宋体" w:hAnsi="宋体"/>
          <w:b/>
          <w:color w:val="000000"/>
          <w:sz w:val="24"/>
          <w:szCs w:val="24"/>
        </w:rPr>
        <w:t>3.</w:t>
      </w:r>
      <w:r>
        <w:rPr>
          <w:rFonts w:ascii="宋体" w:hAnsi="宋体"/>
          <w:b/>
          <w:color w:val="000000"/>
          <w:sz w:val="24"/>
          <w:szCs w:val="24"/>
        </w:rPr>
        <w:t>0</w:t>
      </w:r>
      <w:r>
        <w:rPr>
          <w:rFonts w:hint="eastAsia" w:ascii="宋体" w:hAnsi="宋体"/>
          <w:b/>
          <w:color w:val="000000"/>
          <w:sz w:val="24"/>
          <w:szCs w:val="24"/>
        </w:rPr>
        <w:t>.4</w:t>
      </w:r>
      <w:r>
        <w:rPr>
          <w:rFonts w:hint="eastAsia" w:ascii="宋体" w:hAnsi="宋体"/>
          <w:color w:val="000000"/>
          <w:sz w:val="24"/>
          <w:szCs w:val="24"/>
        </w:rPr>
        <w:t xml:space="preserve">  本条提出了对仪器的要求，除了仪器应在检定有效期要求外，检测机构还应根据各自仪器的实际情况制定切实可靠的周期性校核计划。</w:t>
      </w:r>
    </w:p>
    <w:p>
      <w:pPr>
        <w:adjustRightInd w:val="0"/>
        <w:snapToGrid w:val="0"/>
        <w:spacing w:line="440" w:lineRule="atLeast"/>
        <w:rPr>
          <w:rFonts w:ascii="宋体" w:hAnsi="宋体"/>
          <w:color w:val="000000"/>
          <w:sz w:val="24"/>
          <w:szCs w:val="24"/>
        </w:rPr>
      </w:pPr>
      <w:r>
        <w:rPr>
          <w:rFonts w:hint="eastAsia" w:ascii="宋体" w:hAnsi="宋体"/>
          <w:b/>
          <w:color w:val="000000"/>
          <w:sz w:val="24"/>
          <w:szCs w:val="24"/>
        </w:rPr>
        <w:t>3.</w:t>
      </w:r>
      <w:r>
        <w:rPr>
          <w:rFonts w:ascii="宋体" w:hAnsi="宋体"/>
          <w:b/>
          <w:color w:val="000000"/>
          <w:sz w:val="24"/>
          <w:szCs w:val="24"/>
        </w:rPr>
        <w:t>0</w:t>
      </w:r>
      <w:r>
        <w:rPr>
          <w:rFonts w:hint="eastAsia" w:ascii="宋体" w:hAnsi="宋体"/>
          <w:b/>
          <w:color w:val="000000"/>
          <w:sz w:val="24"/>
          <w:szCs w:val="24"/>
        </w:rPr>
        <w:t>.5</w:t>
      </w:r>
      <w:r>
        <w:rPr>
          <w:rFonts w:hint="eastAsia" w:ascii="宋体" w:hAnsi="宋体"/>
          <w:color w:val="000000"/>
          <w:sz w:val="24"/>
          <w:szCs w:val="24"/>
        </w:rPr>
        <w:t xml:space="preserve">  本条要求检测</w:t>
      </w:r>
      <w:r>
        <w:rPr>
          <w:rFonts w:ascii="宋体" w:hAnsi="宋体"/>
          <w:color w:val="000000"/>
          <w:sz w:val="24"/>
          <w:szCs w:val="24"/>
        </w:rPr>
        <w:t>应在施工全部完成后进行，并且经过施工方初步自检、试运行，在</w:t>
      </w:r>
      <w:r>
        <w:rPr>
          <w:rFonts w:hint="eastAsia" w:ascii="宋体" w:hAnsi="宋体"/>
          <w:color w:val="000000"/>
          <w:sz w:val="24"/>
          <w:szCs w:val="24"/>
        </w:rPr>
        <w:t>确定</w:t>
      </w:r>
      <w:r>
        <w:rPr>
          <w:rFonts w:ascii="宋体" w:hAnsi="宋体"/>
          <w:color w:val="000000"/>
          <w:sz w:val="24"/>
          <w:szCs w:val="24"/>
        </w:rPr>
        <w:t>整个系统运行正常</w:t>
      </w:r>
      <w:r>
        <w:rPr>
          <w:rFonts w:hint="eastAsia" w:ascii="宋体" w:hAnsi="宋体"/>
          <w:color w:val="000000"/>
          <w:sz w:val="24"/>
          <w:szCs w:val="24"/>
        </w:rPr>
        <w:t>之后方可</w:t>
      </w:r>
      <w:r>
        <w:rPr>
          <w:rFonts w:ascii="宋体" w:hAnsi="宋体"/>
          <w:color w:val="000000"/>
          <w:sz w:val="24"/>
          <w:szCs w:val="24"/>
        </w:rPr>
        <w:t>进行检测</w:t>
      </w:r>
      <w:r>
        <w:rPr>
          <w:rFonts w:hint="eastAsia" w:ascii="宋体" w:hAnsi="宋体"/>
          <w:color w:val="000000"/>
          <w:sz w:val="24"/>
          <w:szCs w:val="24"/>
        </w:rPr>
        <w:t>。检测前应制定相应的检测方案，方案可由设计单位或检测单位制定，经相关参建方认可。</w:t>
      </w:r>
    </w:p>
    <w:p>
      <w:pPr>
        <w:adjustRightInd w:val="0"/>
        <w:snapToGrid w:val="0"/>
        <w:spacing w:line="440" w:lineRule="atLeast"/>
        <w:rPr>
          <w:rFonts w:ascii="宋体" w:hAnsi="宋体"/>
          <w:color w:val="000000"/>
          <w:sz w:val="24"/>
          <w:szCs w:val="24"/>
        </w:rPr>
      </w:pPr>
      <w:r>
        <w:rPr>
          <w:rFonts w:hint="eastAsia" w:ascii="宋体" w:hAnsi="宋体"/>
          <w:b/>
          <w:color w:val="000000"/>
          <w:sz w:val="24"/>
          <w:szCs w:val="24"/>
        </w:rPr>
        <w:t>3.</w:t>
      </w:r>
      <w:r>
        <w:rPr>
          <w:rFonts w:ascii="宋体" w:hAnsi="宋体"/>
          <w:b/>
          <w:color w:val="000000"/>
          <w:sz w:val="24"/>
          <w:szCs w:val="24"/>
        </w:rPr>
        <w:t>0</w:t>
      </w:r>
      <w:r>
        <w:rPr>
          <w:rFonts w:hint="eastAsia" w:ascii="宋体" w:hAnsi="宋体"/>
          <w:b/>
          <w:color w:val="000000"/>
          <w:sz w:val="24"/>
          <w:szCs w:val="24"/>
        </w:rPr>
        <w:t>.6</w:t>
      </w:r>
      <w:r>
        <w:rPr>
          <w:rFonts w:hint="eastAsia" w:ascii="宋体" w:hAnsi="宋体"/>
          <w:color w:val="000000"/>
          <w:sz w:val="24"/>
          <w:szCs w:val="24"/>
        </w:rPr>
        <w:t xml:space="preserve">  虽然检测前施工单位已自检并试运行，但是检测机构抽检过程中仍应检查电器设施、线缆的规格是否符合图纸及相关规范要求，若发现与图纸不符，应待施工单位整改后方可继续检测。</w:t>
      </w:r>
    </w:p>
    <w:p>
      <w:pPr>
        <w:adjustRightInd w:val="0"/>
        <w:snapToGrid w:val="0"/>
        <w:spacing w:line="440" w:lineRule="atLeast"/>
        <w:rPr>
          <w:rFonts w:ascii="宋体" w:hAnsi="宋体"/>
          <w:color w:val="000000"/>
          <w:sz w:val="24"/>
          <w:szCs w:val="24"/>
        </w:rPr>
      </w:pPr>
      <w:r>
        <w:rPr>
          <w:rFonts w:hint="eastAsia" w:ascii="宋体" w:hAnsi="宋体"/>
          <w:b/>
          <w:color w:val="000000"/>
          <w:sz w:val="24"/>
          <w:szCs w:val="24"/>
        </w:rPr>
        <w:t>3.</w:t>
      </w:r>
      <w:r>
        <w:rPr>
          <w:rFonts w:ascii="宋体" w:hAnsi="宋体"/>
          <w:b/>
          <w:color w:val="000000"/>
          <w:sz w:val="24"/>
          <w:szCs w:val="24"/>
        </w:rPr>
        <w:t>0</w:t>
      </w:r>
      <w:r>
        <w:rPr>
          <w:rFonts w:hint="eastAsia" w:ascii="宋体" w:hAnsi="宋体"/>
          <w:b/>
          <w:color w:val="000000"/>
          <w:sz w:val="24"/>
          <w:szCs w:val="24"/>
        </w:rPr>
        <w:t>.7</w:t>
      </w:r>
      <w:r>
        <w:rPr>
          <w:rFonts w:hint="eastAsia" w:ascii="宋体" w:hAnsi="宋体"/>
          <w:color w:val="000000"/>
          <w:sz w:val="24"/>
          <w:szCs w:val="24"/>
        </w:rPr>
        <w:t xml:space="preserve">  安全是检测过程中最重要的一项，必须重视</w:t>
      </w:r>
      <w:r>
        <w:rPr>
          <w:rFonts w:ascii="宋体" w:hAnsi="宋体"/>
          <w:color w:val="000000"/>
          <w:sz w:val="24"/>
          <w:szCs w:val="24"/>
        </w:rPr>
        <w:t>。检测机构应该</w:t>
      </w:r>
      <w:r>
        <w:rPr>
          <w:rFonts w:hint="eastAsia" w:ascii="宋体" w:hAnsi="宋体"/>
          <w:color w:val="000000"/>
          <w:sz w:val="24"/>
          <w:szCs w:val="24"/>
        </w:rPr>
        <w:t>经常</w:t>
      </w:r>
      <w:r>
        <w:rPr>
          <w:rFonts w:ascii="宋体" w:hAnsi="宋体"/>
          <w:color w:val="000000"/>
          <w:sz w:val="24"/>
          <w:szCs w:val="24"/>
        </w:rPr>
        <w:t>对检测人员进行相关电气常识，电气安全知识的教育和培训。防止在检测过程中造成触电等安全事故或财产损失</w:t>
      </w:r>
      <w:r>
        <w:rPr>
          <w:rFonts w:hint="eastAsia" w:ascii="宋体" w:hAnsi="宋体"/>
          <w:color w:val="000000"/>
          <w:sz w:val="24"/>
          <w:szCs w:val="24"/>
        </w:rPr>
        <w:t>。</w:t>
      </w:r>
    </w:p>
    <w:p>
      <w:pPr>
        <w:pStyle w:val="2"/>
        <w:spacing w:before="240" w:after="360"/>
      </w:pPr>
      <w:bookmarkStart w:id="56" w:name="_Toc457727994"/>
      <w:bookmarkStart w:id="57" w:name="_Toc43819491"/>
      <w:bookmarkStart w:id="58" w:name="_Toc43819636"/>
      <w:r>
        <w:rPr>
          <w:rFonts w:hint="eastAsia"/>
        </w:rPr>
        <w:t xml:space="preserve">4  </w:t>
      </w:r>
      <w:bookmarkEnd w:id="56"/>
      <w:r>
        <w:t>绝缘电阻检测</w:t>
      </w:r>
      <w:bookmarkEnd w:id="57"/>
      <w:bookmarkEnd w:id="58"/>
    </w:p>
    <w:p>
      <w:pPr>
        <w:pStyle w:val="3"/>
        <w:spacing w:before="480" w:after="120"/>
      </w:pPr>
      <w:bookmarkStart w:id="59" w:name="_Toc43819637"/>
      <w:bookmarkStart w:id="60" w:name="_Toc43819492"/>
      <w:r>
        <w:rPr>
          <w:rFonts w:hint="eastAsia"/>
        </w:rPr>
        <w:t>4</w:t>
      </w:r>
      <w:r>
        <w:t>.</w:t>
      </w:r>
      <w:r>
        <w:rPr>
          <w:rFonts w:hint="eastAsia"/>
        </w:rPr>
        <w:t>1</w:t>
      </w:r>
      <w:r>
        <w:t>检测设备</w:t>
      </w:r>
      <w:bookmarkEnd w:id="59"/>
      <w:bookmarkEnd w:id="60"/>
    </w:p>
    <w:p>
      <w:pPr>
        <w:adjustRightInd w:val="0"/>
        <w:snapToGrid w:val="0"/>
        <w:spacing w:line="440" w:lineRule="atLeast"/>
        <w:rPr>
          <w:rFonts w:ascii="宋体" w:hAnsi="宋体"/>
          <w:color w:val="000000"/>
          <w:sz w:val="24"/>
          <w:szCs w:val="24"/>
        </w:rPr>
      </w:pPr>
      <w:r>
        <w:rPr>
          <w:rFonts w:hint="eastAsia" w:ascii="宋体" w:hAnsi="宋体"/>
          <w:b/>
          <w:color w:val="000000"/>
          <w:sz w:val="24"/>
          <w:szCs w:val="24"/>
        </w:rPr>
        <w:t>4.1.1～4.1.2</w:t>
      </w:r>
      <w:r>
        <w:rPr>
          <w:rFonts w:ascii="宋体" w:hAnsi="宋体"/>
          <w:color w:val="000000"/>
          <w:sz w:val="24"/>
          <w:szCs w:val="24"/>
        </w:rPr>
        <w:t xml:space="preserve">  </w:t>
      </w:r>
      <w:r>
        <w:rPr>
          <w:rFonts w:hint="eastAsia" w:ascii="宋体" w:hAnsi="宋体"/>
          <w:color w:val="000000"/>
          <w:sz w:val="24"/>
          <w:szCs w:val="24"/>
        </w:rPr>
        <w:t>保证绝缘电阻检测仪的量程、分辨率、精度及测量电压等级满足工程检测的条件，是检测机构配备和检测人员使用检测仪的基本要求。</w:t>
      </w:r>
    </w:p>
    <w:p>
      <w:pPr>
        <w:adjustRightInd w:val="0"/>
        <w:snapToGrid w:val="0"/>
        <w:spacing w:line="440" w:lineRule="atLeast"/>
        <w:ind w:firstLine="480" w:firstLineChars="200"/>
        <w:rPr>
          <w:rFonts w:ascii="宋体" w:hAnsi="宋体"/>
          <w:color w:val="000000"/>
          <w:sz w:val="24"/>
          <w:szCs w:val="24"/>
        </w:rPr>
      </w:pPr>
      <w:r>
        <w:rPr>
          <w:rFonts w:hint="eastAsia" w:ascii="宋体" w:hAnsi="宋体"/>
          <w:color w:val="000000"/>
          <w:sz w:val="24"/>
          <w:szCs w:val="24"/>
        </w:rPr>
        <w:t>由于手摇式兆欧表相比数字式绝缘电阻测试仪而言存在操作复杂，电压不稳等情况，因此推荐优先使用符合要求的数字式绝缘电阻测试仪。</w:t>
      </w:r>
    </w:p>
    <w:p>
      <w:pPr>
        <w:pStyle w:val="3"/>
        <w:spacing w:before="480" w:after="120"/>
      </w:pPr>
      <w:bookmarkStart w:id="61" w:name="_Toc43819638"/>
      <w:bookmarkStart w:id="62" w:name="_Toc43819493"/>
      <w:r>
        <w:rPr>
          <w:rFonts w:hint="eastAsia"/>
        </w:rPr>
        <w:t>4</w:t>
      </w:r>
      <w:r>
        <w:t>.</w:t>
      </w:r>
      <w:r>
        <w:rPr>
          <w:rFonts w:hint="eastAsia"/>
        </w:rPr>
        <w:t>2</w:t>
      </w:r>
      <w:r>
        <w:t>检测</w:t>
      </w:r>
      <w:r>
        <w:rPr>
          <w:rFonts w:hint="eastAsia"/>
        </w:rPr>
        <w:t>数量</w:t>
      </w:r>
      <w:bookmarkEnd w:id="61"/>
      <w:bookmarkEnd w:id="62"/>
    </w:p>
    <w:p>
      <w:pPr>
        <w:adjustRightInd w:val="0"/>
        <w:snapToGrid w:val="0"/>
        <w:spacing w:line="440" w:lineRule="atLeast"/>
        <w:rPr>
          <w:rFonts w:ascii="宋体" w:hAnsi="宋体"/>
          <w:color w:val="000000"/>
          <w:sz w:val="24"/>
          <w:szCs w:val="24"/>
        </w:rPr>
      </w:pPr>
      <w:r>
        <w:rPr>
          <w:rFonts w:hint="eastAsia" w:ascii="宋体" w:hAnsi="宋体"/>
          <w:b/>
          <w:color w:val="000000"/>
          <w:sz w:val="24"/>
          <w:szCs w:val="24"/>
        </w:rPr>
        <w:t>4.2.2～4.2.3</w:t>
      </w:r>
      <w:r>
        <w:rPr>
          <w:rFonts w:ascii="宋体" w:hAnsi="宋体"/>
          <w:b/>
          <w:color w:val="000000"/>
          <w:sz w:val="24"/>
          <w:szCs w:val="24"/>
        </w:rPr>
        <w:t xml:space="preserve"> </w:t>
      </w:r>
      <w:r>
        <w:rPr>
          <w:rFonts w:ascii="宋体" w:hAnsi="宋体"/>
          <w:color w:val="000000"/>
          <w:sz w:val="24"/>
          <w:szCs w:val="24"/>
        </w:rPr>
        <w:t xml:space="preserve"> 本条规定的是</w:t>
      </w:r>
      <w:r>
        <w:rPr>
          <w:rFonts w:hint="eastAsia" w:ascii="宋体" w:hAnsi="宋体"/>
          <w:color w:val="000000"/>
          <w:sz w:val="24"/>
          <w:szCs w:val="24"/>
        </w:rPr>
        <w:t>验收环节</w:t>
      </w:r>
      <w:r>
        <w:rPr>
          <w:rFonts w:ascii="宋体" w:hAnsi="宋体"/>
          <w:color w:val="000000"/>
          <w:sz w:val="24"/>
          <w:szCs w:val="24"/>
        </w:rPr>
        <w:t>抽检的最小比例</w:t>
      </w:r>
      <w:r>
        <w:rPr>
          <w:rFonts w:hint="eastAsia" w:ascii="宋体" w:hAnsi="宋体"/>
          <w:color w:val="000000"/>
          <w:sz w:val="24"/>
          <w:szCs w:val="24"/>
        </w:rPr>
        <w:t>，楼层配电箱内的线路（回路）为全数检测</w:t>
      </w:r>
      <w:r>
        <w:rPr>
          <w:rFonts w:ascii="宋体" w:hAnsi="宋体"/>
          <w:color w:val="000000"/>
          <w:sz w:val="24"/>
          <w:szCs w:val="24"/>
        </w:rPr>
        <w:t>。当现场情况比较复杂</w:t>
      </w:r>
      <w:r>
        <w:rPr>
          <w:rFonts w:hint="eastAsia" w:ascii="宋体" w:hAnsi="宋体"/>
          <w:color w:val="000000"/>
          <w:sz w:val="24"/>
          <w:szCs w:val="24"/>
        </w:rPr>
        <w:t>、</w:t>
      </w:r>
      <w:r>
        <w:rPr>
          <w:rFonts w:ascii="宋体" w:hAnsi="宋体"/>
          <w:color w:val="000000"/>
          <w:sz w:val="24"/>
          <w:szCs w:val="24"/>
        </w:rPr>
        <w:t>对</w:t>
      </w:r>
      <w:r>
        <w:rPr>
          <w:rFonts w:hint="eastAsia" w:ascii="宋体" w:hAnsi="宋体"/>
          <w:color w:val="000000"/>
          <w:sz w:val="24"/>
          <w:szCs w:val="24"/>
        </w:rPr>
        <w:t>施工质量有疑问或者建设方、设计方、监理方有要求时，可以增加检测数量。检测时应随机抽样，抽样应具有一定的代表性。</w:t>
      </w:r>
    </w:p>
    <w:p>
      <w:pPr>
        <w:pStyle w:val="3"/>
        <w:spacing w:before="480" w:after="120"/>
      </w:pPr>
      <w:bookmarkStart w:id="63" w:name="_Toc43819494"/>
      <w:bookmarkStart w:id="64" w:name="_Toc43819639"/>
      <w:r>
        <w:rPr>
          <w:rFonts w:hint="eastAsia"/>
        </w:rPr>
        <w:t>4</w:t>
      </w:r>
      <w:r>
        <w:t>.3</w:t>
      </w:r>
      <w:r>
        <w:rPr>
          <w:rFonts w:hint="eastAsia"/>
        </w:rPr>
        <w:t>环境</w:t>
      </w:r>
      <w:bookmarkEnd w:id="63"/>
      <w:bookmarkEnd w:id="64"/>
      <w:r>
        <w:rPr>
          <w:rFonts w:hint="eastAsia"/>
        </w:rPr>
        <w:t>条件</w:t>
      </w:r>
    </w:p>
    <w:p>
      <w:pPr>
        <w:pStyle w:val="12"/>
        <w:tabs>
          <w:tab w:val="left" w:pos="945"/>
        </w:tabs>
        <w:adjustRightInd w:val="0"/>
        <w:snapToGrid w:val="0"/>
        <w:spacing w:line="440" w:lineRule="atLeast"/>
        <w:ind w:firstLine="480" w:firstLineChars="200"/>
        <w:rPr>
          <w:rFonts w:ascii="宋体" w:hAnsi="宋体" w:eastAsia="宋体"/>
          <w:b w:val="0"/>
          <w:color w:val="000000"/>
          <w:sz w:val="24"/>
          <w:szCs w:val="24"/>
        </w:rPr>
      </w:pPr>
      <w:r>
        <w:rPr>
          <w:rFonts w:hint="eastAsia" w:ascii="宋体" w:hAnsi="宋体" w:eastAsia="宋体"/>
          <w:b w:val="0"/>
          <w:color w:val="000000"/>
          <w:sz w:val="24"/>
          <w:szCs w:val="24"/>
        </w:rPr>
        <w:t>检测时应考虑场地周边环境，如温度、湿度、振动、电磁环境等因素是否满足所使用仪器设备对环境的要求。必要时记录环境条件，如使用环境较差的电气工程所处的位置、较潮湿的地下室或其他使用环境恶劣的地方。这些地方出现绝缘电阻不合格时，可帮助查明原因，考虑有针对性地进行整改。绝缘电阻接近指定指标时，应在报告中做出引起重视的提示。</w:t>
      </w:r>
    </w:p>
    <w:p>
      <w:pPr>
        <w:pStyle w:val="3"/>
        <w:spacing w:before="480" w:after="120"/>
      </w:pPr>
      <w:bookmarkStart w:id="65" w:name="_Toc43819640"/>
      <w:bookmarkStart w:id="66" w:name="_Toc43819495"/>
      <w:r>
        <w:rPr>
          <w:rFonts w:hint="eastAsia"/>
        </w:rPr>
        <w:t>4</w:t>
      </w:r>
      <w:r>
        <w:t>.</w:t>
      </w:r>
      <w:r>
        <w:rPr>
          <w:rFonts w:hint="eastAsia"/>
        </w:rPr>
        <w:t>4检测方法及要求</w:t>
      </w:r>
      <w:bookmarkEnd w:id="65"/>
      <w:bookmarkEnd w:id="66"/>
    </w:p>
    <w:p>
      <w:pPr>
        <w:adjustRightInd w:val="0"/>
        <w:snapToGrid w:val="0"/>
        <w:spacing w:line="440" w:lineRule="exact"/>
        <w:ind w:firstLine="480" w:firstLineChars="200"/>
        <w:rPr>
          <w:rFonts w:ascii="宋体" w:hAnsi="宋体"/>
          <w:color w:val="000000"/>
          <w:sz w:val="24"/>
          <w:szCs w:val="24"/>
        </w:rPr>
      </w:pPr>
      <w:r>
        <w:rPr>
          <w:rFonts w:hint="eastAsia" w:ascii="宋体" w:hAnsi="宋体"/>
          <w:color w:val="000000"/>
          <w:sz w:val="24"/>
          <w:szCs w:val="24"/>
        </w:rPr>
        <w:t>鉴于目前我区的检测单位基本都在使用数字式绝缘电阻测试仪，因此本规程不再列举手摇式绝缘电阻表的使用要求。</w:t>
      </w:r>
    </w:p>
    <w:p>
      <w:pPr>
        <w:adjustRightInd w:val="0"/>
        <w:snapToGrid w:val="0"/>
        <w:spacing w:line="440" w:lineRule="exact"/>
        <w:rPr>
          <w:rFonts w:ascii="宋体" w:hAnsi="宋体"/>
          <w:color w:val="000000"/>
          <w:sz w:val="24"/>
          <w:szCs w:val="24"/>
        </w:rPr>
      </w:pPr>
      <w:r>
        <w:rPr>
          <w:rFonts w:hint="eastAsia" w:ascii="宋体" w:hAnsi="宋体"/>
          <w:b/>
          <w:color w:val="000000"/>
          <w:sz w:val="24"/>
          <w:szCs w:val="24"/>
        </w:rPr>
        <w:t>4</w:t>
      </w:r>
      <w:r>
        <w:rPr>
          <w:rFonts w:ascii="宋体" w:hAnsi="宋体"/>
          <w:b/>
          <w:color w:val="000000"/>
          <w:sz w:val="24"/>
          <w:szCs w:val="24"/>
        </w:rPr>
        <w:t>.</w:t>
      </w:r>
      <w:r>
        <w:rPr>
          <w:rFonts w:hint="eastAsia" w:ascii="宋体" w:hAnsi="宋体"/>
          <w:b/>
          <w:color w:val="000000"/>
          <w:sz w:val="24"/>
          <w:szCs w:val="24"/>
        </w:rPr>
        <w:t>4</w:t>
      </w:r>
      <w:r>
        <w:rPr>
          <w:rFonts w:ascii="宋体" w:hAnsi="宋体"/>
          <w:b/>
          <w:color w:val="000000"/>
          <w:sz w:val="24"/>
          <w:szCs w:val="24"/>
        </w:rPr>
        <w:t>.3</w:t>
      </w:r>
      <w:r>
        <w:rPr>
          <w:rFonts w:ascii="宋体" w:hAnsi="宋体"/>
          <w:color w:val="000000"/>
          <w:sz w:val="24"/>
          <w:szCs w:val="24"/>
        </w:rPr>
        <w:t xml:space="preserve">  </w:t>
      </w:r>
      <w:r>
        <w:rPr>
          <w:rFonts w:hint="eastAsia" w:ascii="宋体" w:hAnsi="宋体"/>
          <w:color w:val="000000"/>
          <w:sz w:val="24"/>
          <w:szCs w:val="24"/>
        </w:rPr>
        <w:t>为了保证结果的正确性，仪器除必须进行期间核查外，尚宜在每次检测前测量仪器额定电压。</w:t>
      </w:r>
    </w:p>
    <w:p>
      <w:pPr>
        <w:adjustRightInd w:val="0"/>
        <w:snapToGrid w:val="0"/>
        <w:spacing w:line="440" w:lineRule="exact"/>
        <w:rPr>
          <w:rFonts w:ascii="宋体" w:hAnsi="宋体"/>
          <w:color w:val="000000"/>
          <w:sz w:val="24"/>
          <w:szCs w:val="24"/>
        </w:rPr>
      </w:pPr>
      <w:r>
        <w:rPr>
          <w:rFonts w:hint="eastAsia" w:ascii="宋体" w:hAnsi="宋体"/>
          <w:b/>
          <w:color w:val="000000"/>
          <w:sz w:val="24"/>
          <w:szCs w:val="24"/>
        </w:rPr>
        <w:t>4</w:t>
      </w:r>
      <w:r>
        <w:rPr>
          <w:rFonts w:ascii="宋体" w:hAnsi="宋体"/>
          <w:b/>
          <w:color w:val="000000"/>
          <w:sz w:val="24"/>
          <w:szCs w:val="24"/>
        </w:rPr>
        <w:t>.</w:t>
      </w:r>
      <w:r>
        <w:rPr>
          <w:rFonts w:hint="eastAsia" w:ascii="宋体" w:hAnsi="宋体"/>
          <w:b/>
          <w:color w:val="000000"/>
          <w:sz w:val="24"/>
          <w:szCs w:val="24"/>
        </w:rPr>
        <w:t>4</w:t>
      </w:r>
      <w:r>
        <w:rPr>
          <w:rFonts w:ascii="宋体" w:hAnsi="宋体"/>
          <w:b/>
          <w:color w:val="000000"/>
          <w:sz w:val="24"/>
          <w:szCs w:val="24"/>
        </w:rPr>
        <w:t>.4</w:t>
      </w:r>
      <w:r>
        <w:rPr>
          <w:rFonts w:ascii="宋体" w:hAnsi="宋体"/>
          <w:color w:val="000000"/>
          <w:sz w:val="24"/>
          <w:szCs w:val="24"/>
        </w:rPr>
        <w:t xml:space="preserve">  </w:t>
      </w:r>
      <w:r>
        <w:rPr>
          <w:rFonts w:hint="eastAsia" w:ascii="宋体" w:hAnsi="宋体"/>
          <w:color w:val="000000"/>
          <w:sz w:val="24"/>
          <w:szCs w:val="24"/>
        </w:rPr>
        <w:t>绝缘电阻检测前，必须断开电源、负载及配电箱（柜）开关，但可以将馈电线路系统中的开关、低压断路器闭合。</w:t>
      </w:r>
    </w:p>
    <w:p>
      <w:pPr>
        <w:spacing w:line="440" w:lineRule="exact"/>
        <w:jc w:val="left"/>
        <w:rPr>
          <w:sz w:val="24"/>
          <w:szCs w:val="24"/>
        </w:rPr>
      </w:pPr>
      <w:r>
        <w:rPr>
          <w:rFonts w:hint="eastAsia"/>
          <w:b/>
          <w:sz w:val="24"/>
          <w:szCs w:val="24"/>
        </w:rPr>
        <w:t>4.4.6</w:t>
      </w:r>
      <w:r>
        <w:rPr>
          <w:rFonts w:hint="eastAsia"/>
          <w:sz w:val="24"/>
          <w:szCs w:val="24"/>
        </w:rPr>
        <w:t xml:space="preserve">  为使绝缘电阻测量值基本稳定，测试充电时间应足够充分，不少于1分钟，不超过5分钟。通常推荐1分钟读数。测量数值稳定后再读数并记录。</w:t>
      </w:r>
    </w:p>
    <w:p>
      <w:pPr>
        <w:adjustRightInd w:val="0"/>
        <w:snapToGrid w:val="0"/>
        <w:spacing w:line="440" w:lineRule="atLeast"/>
        <w:rPr>
          <w:rFonts w:ascii="宋体" w:hAnsi="宋体"/>
          <w:color w:val="000000"/>
          <w:sz w:val="24"/>
          <w:szCs w:val="24"/>
        </w:rPr>
      </w:pPr>
    </w:p>
    <w:p>
      <w:pPr>
        <w:pStyle w:val="2"/>
        <w:spacing w:before="240" w:after="360"/>
      </w:pPr>
      <w:bookmarkStart w:id="67" w:name="_Toc457727995"/>
      <w:bookmarkStart w:id="68" w:name="_Toc43819641"/>
      <w:bookmarkStart w:id="69" w:name="_Toc43819496"/>
      <w:r>
        <w:rPr>
          <w:rFonts w:hint="eastAsia"/>
        </w:rPr>
        <w:t xml:space="preserve">5  </w:t>
      </w:r>
      <w:bookmarkEnd w:id="67"/>
      <w:r>
        <w:rPr>
          <w:rFonts w:hint="eastAsia"/>
        </w:rPr>
        <w:t>接地电阻检测</w:t>
      </w:r>
      <w:bookmarkEnd w:id="68"/>
      <w:bookmarkEnd w:id="69"/>
    </w:p>
    <w:p>
      <w:pPr>
        <w:pStyle w:val="3"/>
        <w:spacing w:before="480" w:after="120"/>
      </w:pPr>
      <w:bookmarkStart w:id="70" w:name="_Toc43819497"/>
      <w:bookmarkStart w:id="71" w:name="_Toc43819642"/>
      <w:r>
        <w:rPr>
          <w:rFonts w:hint="eastAsia"/>
        </w:rPr>
        <w:t>5</w:t>
      </w:r>
      <w:r>
        <w:t>.</w:t>
      </w:r>
      <w:r>
        <w:rPr>
          <w:rFonts w:hint="eastAsia"/>
        </w:rPr>
        <w:t>1</w:t>
      </w:r>
      <w:r>
        <w:t xml:space="preserve"> </w:t>
      </w:r>
      <w:r>
        <w:rPr>
          <w:rFonts w:hint="eastAsia"/>
        </w:rPr>
        <w:t>检测仪器</w:t>
      </w:r>
      <w:bookmarkEnd w:id="70"/>
      <w:bookmarkEnd w:id="71"/>
    </w:p>
    <w:p>
      <w:pPr>
        <w:adjustRightInd w:val="0"/>
        <w:snapToGrid w:val="0"/>
        <w:spacing w:line="440" w:lineRule="atLeast"/>
        <w:rPr>
          <w:color w:val="000000"/>
          <w:szCs w:val="28"/>
        </w:rPr>
      </w:pPr>
      <w:r>
        <w:rPr>
          <w:rFonts w:ascii="宋体" w:hAnsi="宋体"/>
          <w:b/>
          <w:color w:val="000000"/>
          <w:sz w:val="24"/>
          <w:szCs w:val="24"/>
        </w:rPr>
        <w:t>5.1.1</w:t>
      </w:r>
      <w:r>
        <w:rPr>
          <w:rFonts w:hint="eastAsia" w:ascii="宋体" w:hAnsi="宋体"/>
          <w:color w:val="000000"/>
          <w:sz w:val="24"/>
          <w:szCs w:val="24"/>
        </w:rPr>
        <w:t>对于民用建筑和工业建筑，钳型接地电阻测试仪在检测时往往要采用二点法，即在被测接地体R</w:t>
      </w:r>
      <w:r>
        <w:rPr>
          <w:rFonts w:hint="eastAsia" w:ascii="宋体" w:hAnsi="宋体"/>
          <w:color w:val="000000"/>
          <w:sz w:val="32"/>
          <w:szCs w:val="32"/>
          <w:vertAlign w:val="subscript"/>
        </w:rPr>
        <w:t>A</w:t>
      </w:r>
      <w:r>
        <w:rPr>
          <w:rFonts w:hint="eastAsia" w:ascii="宋体" w:hAnsi="宋体"/>
          <w:color w:val="000000"/>
          <w:sz w:val="24"/>
          <w:szCs w:val="24"/>
        </w:rPr>
        <w:t>附近找一个独立的接地较好的接地体R</w:t>
      </w:r>
      <w:r>
        <w:rPr>
          <w:rFonts w:hint="eastAsia" w:ascii="宋体" w:hAnsi="宋体"/>
          <w:color w:val="000000"/>
          <w:sz w:val="32"/>
          <w:szCs w:val="32"/>
          <w:vertAlign w:val="subscript"/>
        </w:rPr>
        <w:t>B</w:t>
      </w:r>
      <w:r>
        <w:rPr>
          <w:rFonts w:hint="eastAsia" w:ascii="宋体" w:hAnsi="宋体"/>
          <w:color w:val="000000"/>
          <w:sz w:val="24"/>
          <w:szCs w:val="24"/>
        </w:rPr>
        <w:t>（例如临近的自来水管、建筑物等）。将R</w:t>
      </w:r>
      <w:r>
        <w:rPr>
          <w:rFonts w:hint="eastAsia" w:ascii="宋体" w:hAnsi="宋体"/>
          <w:color w:val="000000"/>
          <w:sz w:val="36"/>
          <w:szCs w:val="36"/>
          <w:vertAlign w:val="subscript"/>
        </w:rPr>
        <w:t>A</w:t>
      </w:r>
      <w:r>
        <w:rPr>
          <w:rFonts w:hint="eastAsia" w:ascii="宋体" w:hAnsi="宋体"/>
          <w:color w:val="000000"/>
          <w:sz w:val="24"/>
          <w:szCs w:val="24"/>
        </w:rPr>
        <w:t>和R</w:t>
      </w:r>
      <w:r>
        <w:rPr>
          <w:rFonts w:hint="eastAsia" w:ascii="宋体" w:hAnsi="宋体"/>
          <w:color w:val="000000"/>
          <w:sz w:val="32"/>
          <w:szCs w:val="32"/>
          <w:vertAlign w:val="subscript"/>
        </w:rPr>
        <w:t>B</w:t>
      </w:r>
      <w:r>
        <w:rPr>
          <w:rFonts w:hint="eastAsia" w:ascii="宋体" w:hAnsi="宋体"/>
          <w:color w:val="000000"/>
          <w:sz w:val="24"/>
          <w:szCs w:val="24"/>
        </w:rPr>
        <w:t>用一根测试线连接起来后进行检测。这种方法很难判断接地体R</w:t>
      </w:r>
      <w:r>
        <w:rPr>
          <w:rFonts w:hint="eastAsia" w:ascii="宋体" w:hAnsi="宋体"/>
          <w:color w:val="000000"/>
          <w:sz w:val="32"/>
          <w:szCs w:val="32"/>
          <w:vertAlign w:val="subscript"/>
        </w:rPr>
        <w:t>B</w:t>
      </w:r>
      <w:r>
        <w:rPr>
          <w:rFonts w:hint="eastAsia" w:ascii="宋体" w:hAnsi="宋体"/>
          <w:color w:val="000000"/>
          <w:sz w:val="24"/>
          <w:szCs w:val="24"/>
        </w:rPr>
        <w:t>是否良好接地，容易造成数据错误，因此本规程不推荐使用钳型接地电阻测试仪，而推荐采用数字式接地电阻测试仪。</w:t>
      </w:r>
      <w:r>
        <w:rPr>
          <w:rFonts w:hint="eastAsia"/>
          <w:color w:val="000000"/>
          <w:szCs w:val="28"/>
        </w:rPr>
        <w:t xml:space="preserve">    </w:t>
      </w:r>
    </w:p>
    <w:p>
      <w:pPr>
        <w:pStyle w:val="3"/>
        <w:spacing w:before="480" w:after="120"/>
      </w:pPr>
      <w:bookmarkStart w:id="72" w:name="_Toc43819498"/>
      <w:bookmarkStart w:id="73" w:name="_Toc43819643"/>
      <w:r>
        <w:rPr>
          <w:rFonts w:hint="eastAsia"/>
        </w:rPr>
        <w:t>5</w:t>
      </w:r>
      <w:r>
        <w:t>.</w:t>
      </w:r>
      <w:r>
        <w:rPr>
          <w:rFonts w:hint="eastAsia"/>
        </w:rPr>
        <w:t>2</w:t>
      </w:r>
      <w:r>
        <w:t xml:space="preserve"> </w:t>
      </w:r>
      <w:r>
        <w:rPr>
          <w:rFonts w:hint="eastAsia"/>
        </w:rPr>
        <w:t>抽检数量</w:t>
      </w:r>
      <w:bookmarkEnd w:id="72"/>
      <w:bookmarkEnd w:id="73"/>
    </w:p>
    <w:p>
      <w:pPr>
        <w:adjustRightInd w:val="0"/>
        <w:snapToGrid w:val="0"/>
        <w:spacing w:line="440" w:lineRule="atLeast"/>
        <w:rPr>
          <w:rFonts w:ascii="宋体" w:hAnsi="宋体"/>
          <w:b/>
          <w:color w:val="000000"/>
          <w:sz w:val="24"/>
          <w:szCs w:val="24"/>
        </w:rPr>
      </w:pPr>
      <w:r>
        <w:rPr>
          <w:rFonts w:hint="eastAsia" w:ascii="宋体" w:hAnsi="宋体"/>
          <w:b/>
          <w:color w:val="000000"/>
          <w:sz w:val="24"/>
          <w:szCs w:val="24"/>
        </w:rPr>
        <w:t>5.2.2～5.2.3</w:t>
      </w:r>
      <w:r>
        <w:rPr>
          <w:rFonts w:ascii="宋体" w:hAnsi="宋体"/>
          <w:b/>
          <w:color w:val="000000"/>
          <w:sz w:val="24"/>
          <w:szCs w:val="24"/>
        </w:rPr>
        <w:t xml:space="preserve"> </w:t>
      </w:r>
      <w:r>
        <w:rPr>
          <w:rFonts w:ascii="宋体" w:hAnsi="宋体"/>
          <w:color w:val="000000"/>
          <w:sz w:val="24"/>
          <w:szCs w:val="24"/>
        </w:rPr>
        <w:t xml:space="preserve"> 本条规定的是抽检的最小比例。当现场情况比较复杂</w:t>
      </w:r>
      <w:r>
        <w:rPr>
          <w:rFonts w:hint="eastAsia" w:ascii="宋体" w:hAnsi="宋体"/>
          <w:color w:val="000000"/>
          <w:sz w:val="24"/>
          <w:szCs w:val="24"/>
        </w:rPr>
        <w:t>、</w:t>
      </w:r>
      <w:r>
        <w:rPr>
          <w:rFonts w:ascii="宋体" w:hAnsi="宋体"/>
          <w:color w:val="000000"/>
          <w:sz w:val="24"/>
          <w:szCs w:val="24"/>
        </w:rPr>
        <w:t>对</w:t>
      </w:r>
      <w:r>
        <w:rPr>
          <w:rFonts w:hint="eastAsia" w:ascii="宋体" w:hAnsi="宋体"/>
          <w:color w:val="000000"/>
          <w:sz w:val="24"/>
          <w:szCs w:val="24"/>
        </w:rPr>
        <w:t>施工质量有疑问或者建设方、设计方、监理方有要求时，可以增加检测数量。</w:t>
      </w:r>
    </w:p>
    <w:p>
      <w:pPr>
        <w:pStyle w:val="3"/>
        <w:spacing w:before="480" w:after="120"/>
      </w:pPr>
      <w:bookmarkStart w:id="74" w:name="_Toc43819499"/>
      <w:bookmarkStart w:id="75" w:name="_Toc43819644"/>
      <w:r>
        <w:rPr>
          <w:rFonts w:hint="eastAsia"/>
        </w:rPr>
        <w:t>5</w:t>
      </w:r>
      <w:r>
        <w:t>.</w:t>
      </w:r>
      <w:r>
        <w:rPr>
          <w:rFonts w:hint="eastAsia"/>
        </w:rPr>
        <w:t>3</w:t>
      </w:r>
      <w:r>
        <w:t xml:space="preserve"> </w:t>
      </w:r>
      <w:r>
        <w:rPr>
          <w:rFonts w:hint="eastAsia"/>
        </w:rPr>
        <w:t>环境条件</w:t>
      </w:r>
      <w:bookmarkEnd w:id="74"/>
      <w:bookmarkEnd w:id="75"/>
    </w:p>
    <w:p>
      <w:pPr>
        <w:adjustRightInd w:val="0"/>
        <w:snapToGrid w:val="0"/>
        <w:spacing w:line="440" w:lineRule="atLeast"/>
        <w:rPr>
          <w:rFonts w:ascii="宋体" w:hAnsi="宋体"/>
          <w:color w:val="000000"/>
          <w:sz w:val="24"/>
          <w:szCs w:val="24"/>
        </w:rPr>
      </w:pPr>
      <w:r>
        <w:rPr>
          <w:rFonts w:hint="eastAsia" w:ascii="宋体" w:hAnsi="宋体"/>
          <w:b/>
          <w:color w:val="000000"/>
          <w:sz w:val="24"/>
          <w:szCs w:val="24"/>
        </w:rPr>
        <w:t xml:space="preserve">5.3.1 </w:t>
      </w:r>
      <w:r>
        <w:rPr>
          <w:rFonts w:hint="eastAsia" w:ascii="宋体" w:hAnsi="宋体"/>
          <w:color w:val="000000"/>
          <w:sz w:val="24"/>
          <w:szCs w:val="24"/>
        </w:rPr>
        <w:t>本条规定接地电阻检测时不应在雨天进行。土壤含水量增大会使得土壤电阻率降低，导致测得的接地电阻值偏小。因此测试接地电阻尽量选择在未下雨，土壤含水量较低的时间进行接地电阻测量。</w:t>
      </w:r>
    </w:p>
    <w:p>
      <w:pPr>
        <w:adjustRightInd w:val="0"/>
        <w:snapToGrid w:val="0"/>
        <w:spacing w:line="440" w:lineRule="atLeast"/>
        <w:rPr>
          <w:rFonts w:ascii="宋体" w:hAnsi="宋体"/>
          <w:color w:val="000000"/>
          <w:sz w:val="24"/>
          <w:szCs w:val="24"/>
        </w:rPr>
      </w:pPr>
      <w:r>
        <w:rPr>
          <w:rFonts w:ascii="宋体" w:hAnsi="宋体"/>
          <w:b/>
          <w:color w:val="000000"/>
          <w:sz w:val="24"/>
          <w:szCs w:val="24"/>
        </w:rPr>
        <w:t>5.3.2</w:t>
      </w:r>
      <w:r>
        <w:rPr>
          <w:rFonts w:hint="eastAsia" w:ascii="宋体" w:hAnsi="宋体"/>
          <w:color w:val="000000"/>
          <w:sz w:val="24"/>
          <w:szCs w:val="24"/>
        </w:rPr>
        <w:t>检测时，室外的温度高低对测量获得的电阻值有一定的影响。温度过低，浅层土壤电阻率降低，导致测试结果不准。因此检测时，温度，湿度、电子环境等以满足检测仪器设备的相关使用条件为准。</w:t>
      </w:r>
    </w:p>
    <w:p>
      <w:pPr>
        <w:pStyle w:val="3"/>
        <w:spacing w:before="480" w:after="120"/>
        <w:rPr>
          <w:rFonts w:ascii="宋体" w:hAnsi="宋体"/>
          <w:sz w:val="24"/>
          <w:szCs w:val="24"/>
        </w:rPr>
      </w:pPr>
      <w:bookmarkStart w:id="76" w:name="_Toc43819645"/>
      <w:bookmarkStart w:id="77" w:name="_Toc43819500"/>
      <w:r>
        <w:rPr>
          <w:rFonts w:hint="eastAsia"/>
        </w:rPr>
        <w:t>5</w:t>
      </w:r>
      <w:r>
        <w:t>.</w:t>
      </w:r>
      <w:r>
        <w:rPr>
          <w:rFonts w:hint="eastAsia"/>
        </w:rPr>
        <w:t>4</w:t>
      </w:r>
      <w:r>
        <w:t xml:space="preserve"> </w:t>
      </w:r>
      <w:r>
        <w:rPr>
          <w:rFonts w:hint="eastAsia"/>
        </w:rPr>
        <w:t>检测方法及要求</w:t>
      </w:r>
      <w:bookmarkEnd w:id="76"/>
      <w:bookmarkEnd w:id="77"/>
    </w:p>
    <w:p>
      <w:pPr>
        <w:adjustRightInd w:val="0"/>
        <w:snapToGrid w:val="0"/>
        <w:spacing w:line="440" w:lineRule="atLeast"/>
        <w:rPr>
          <w:rFonts w:ascii="宋体" w:hAnsi="宋体"/>
          <w:color w:val="000000"/>
          <w:sz w:val="24"/>
          <w:szCs w:val="24"/>
        </w:rPr>
      </w:pPr>
      <w:r>
        <w:rPr>
          <w:rFonts w:hint="eastAsia" w:ascii="宋体" w:hAnsi="宋体"/>
          <w:b/>
          <w:color w:val="000000"/>
          <w:sz w:val="24"/>
          <w:szCs w:val="24"/>
        </w:rPr>
        <w:t>5</w:t>
      </w:r>
      <w:r>
        <w:rPr>
          <w:rFonts w:ascii="宋体" w:hAnsi="宋体"/>
          <w:b/>
          <w:color w:val="000000"/>
          <w:sz w:val="24"/>
          <w:szCs w:val="24"/>
        </w:rPr>
        <w:t>.</w:t>
      </w:r>
      <w:r>
        <w:rPr>
          <w:rFonts w:hint="eastAsia" w:ascii="宋体" w:hAnsi="宋体"/>
          <w:b/>
          <w:color w:val="000000"/>
          <w:sz w:val="24"/>
          <w:szCs w:val="24"/>
        </w:rPr>
        <w:t>4</w:t>
      </w:r>
      <w:r>
        <w:rPr>
          <w:rFonts w:ascii="宋体" w:hAnsi="宋体"/>
          <w:b/>
          <w:color w:val="000000"/>
          <w:sz w:val="24"/>
          <w:szCs w:val="24"/>
        </w:rPr>
        <w:t>.1</w:t>
      </w:r>
      <w:r>
        <w:rPr>
          <w:rFonts w:hint="eastAsia" w:ascii="宋体" w:hAnsi="宋体"/>
          <w:b/>
          <w:color w:val="000000"/>
          <w:sz w:val="24"/>
          <w:szCs w:val="24"/>
        </w:rPr>
        <w:t>～5.4.2</w:t>
      </w:r>
      <w:r>
        <w:rPr>
          <w:rFonts w:ascii="宋体" w:hAnsi="宋体"/>
          <w:color w:val="000000"/>
          <w:sz w:val="24"/>
          <w:szCs w:val="24"/>
        </w:rPr>
        <w:t xml:space="preserve">  </w:t>
      </w:r>
      <w:r>
        <w:rPr>
          <w:rFonts w:hint="eastAsia" w:ascii="宋体" w:hAnsi="宋体"/>
          <w:color w:val="000000"/>
          <w:sz w:val="24"/>
          <w:szCs w:val="24"/>
        </w:rPr>
        <w:t>检测前应采取措施，确保与被测的装置有良好的接触条件，避免接触电阻带来接地电阻测试结果的误差。</w:t>
      </w:r>
    </w:p>
    <w:p>
      <w:pPr>
        <w:adjustRightInd w:val="0"/>
        <w:snapToGrid w:val="0"/>
        <w:spacing w:line="440" w:lineRule="atLeast"/>
        <w:rPr>
          <w:rFonts w:ascii="宋体" w:hAnsi="宋体"/>
          <w:color w:val="000000"/>
          <w:sz w:val="24"/>
          <w:szCs w:val="24"/>
        </w:rPr>
      </w:pPr>
      <w:r>
        <w:rPr>
          <w:rFonts w:hint="eastAsia" w:ascii="宋体" w:hAnsi="宋体"/>
          <w:b/>
          <w:color w:val="000000"/>
          <w:sz w:val="24"/>
          <w:szCs w:val="24"/>
        </w:rPr>
        <w:t>5</w:t>
      </w:r>
      <w:r>
        <w:rPr>
          <w:rFonts w:ascii="宋体" w:hAnsi="宋体"/>
          <w:b/>
          <w:color w:val="000000"/>
          <w:sz w:val="24"/>
          <w:szCs w:val="24"/>
        </w:rPr>
        <w:t>.</w:t>
      </w:r>
      <w:r>
        <w:rPr>
          <w:rFonts w:hint="eastAsia" w:ascii="宋体" w:hAnsi="宋体"/>
          <w:b/>
          <w:color w:val="000000"/>
          <w:sz w:val="24"/>
          <w:szCs w:val="24"/>
        </w:rPr>
        <w:t>4</w:t>
      </w:r>
      <w:r>
        <w:rPr>
          <w:rFonts w:ascii="宋体" w:hAnsi="宋体"/>
          <w:b/>
          <w:color w:val="000000"/>
          <w:sz w:val="24"/>
          <w:szCs w:val="24"/>
        </w:rPr>
        <w:t>.</w:t>
      </w:r>
      <w:r>
        <w:rPr>
          <w:rFonts w:hint="eastAsia" w:ascii="宋体" w:hAnsi="宋体"/>
          <w:b/>
          <w:color w:val="000000"/>
          <w:sz w:val="24"/>
          <w:szCs w:val="24"/>
        </w:rPr>
        <w:t>4</w:t>
      </w:r>
      <w:r>
        <w:rPr>
          <w:rFonts w:ascii="宋体" w:hAnsi="宋体"/>
          <w:color w:val="000000"/>
          <w:sz w:val="24"/>
          <w:szCs w:val="24"/>
        </w:rPr>
        <w:t xml:space="preserve">  </w:t>
      </w:r>
      <w:r>
        <w:rPr>
          <w:rFonts w:hint="eastAsia" w:ascii="宋体" w:hAnsi="宋体"/>
          <w:color w:val="000000"/>
          <w:sz w:val="24"/>
          <w:szCs w:val="24"/>
        </w:rPr>
        <w:t>一般来说，无论是手摇式还是数字式接地电阻测试仪，为了保证电极与土壤接触良好，电极埋入土壤深度不应小于400mm，然而针对一些具备检测接触情况的数字式接地电阻测试仪，电极埋入土壤深度可适当减少。当检测场地比较干燥时，应采取减少接地电极与土壤接触电阻的措施（如在接地电极与土壤接触的部位浇水、加盐水等），确保电极与土壤有良好的接触条件。</w:t>
      </w:r>
    </w:p>
    <w:p>
      <w:pPr>
        <w:adjustRightInd w:val="0"/>
        <w:snapToGrid w:val="0"/>
        <w:spacing w:line="440" w:lineRule="atLeast"/>
        <w:rPr>
          <w:rFonts w:ascii="宋体" w:hAnsi="宋体"/>
          <w:color w:val="000000"/>
          <w:sz w:val="24"/>
          <w:szCs w:val="24"/>
        </w:rPr>
      </w:pPr>
      <w:r>
        <w:rPr>
          <w:rFonts w:hint="eastAsia" w:ascii="宋体" w:hAnsi="宋体"/>
          <w:b/>
          <w:color w:val="000000"/>
          <w:sz w:val="24"/>
          <w:szCs w:val="24"/>
        </w:rPr>
        <w:t>5</w:t>
      </w:r>
      <w:r>
        <w:rPr>
          <w:rFonts w:ascii="宋体" w:hAnsi="宋体"/>
          <w:b/>
          <w:color w:val="000000"/>
          <w:sz w:val="24"/>
          <w:szCs w:val="24"/>
        </w:rPr>
        <w:t>.</w:t>
      </w:r>
      <w:r>
        <w:rPr>
          <w:rFonts w:hint="eastAsia" w:ascii="宋体" w:hAnsi="宋体"/>
          <w:b/>
          <w:color w:val="000000"/>
          <w:sz w:val="24"/>
          <w:szCs w:val="24"/>
        </w:rPr>
        <w:t>4</w:t>
      </w:r>
      <w:r>
        <w:rPr>
          <w:rFonts w:ascii="宋体" w:hAnsi="宋体"/>
          <w:b/>
          <w:color w:val="000000"/>
          <w:sz w:val="24"/>
          <w:szCs w:val="24"/>
        </w:rPr>
        <w:t>.</w:t>
      </w:r>
      <w:r>
        <w:rPr>
          <w:rFonts w:hint="eastAsia" w:ascii="宋体" w:hAnsi="宋体"/>
          <w:b/>
          <w:color w:val="000000"/>
          <w:sz w:val="24"/>
          <w:szCs w:val="24"/>
        </w:rPr>
        <w:t>5</w:t>
      </w:r>
      <w:r>
        <w:rPr>
          <w:rFonts w:ascii="宋体" w:hAnsi="宋体"/>
          <w:color w:val="000000"/>
          <w:sz w:val="24"/>
          <w:szCs w:val="24"/>
        </w:rPr>
        <w:t xml:space="preserve">  </w:t>
      </w:r>
      <w:r>
        <w:rPr>
          <w:rFonts w:hint="eastAsia" w:ascii="宋体" w:hAnsi="宋体"/>
          <w:color w:val="000000"/>
          <w:sz w:val="24"/>
          <w:szCs w:val="24"/>
        </w:rPr>
        <w:t>由于传统接地电阻检测需要将C端钮接40m导线，在城市小区中往往难以实现。对于这种情况可以采用补偿法，特别要注意有接地网的情况下d</w:t>
      </w:r>
      <w:r>
        <w:rPr>
          <w:rFonts w:hint="eastAsia" w:ascii="宋体" w:hAnsi="宋体"/>
          <w:color w:val="000000"/>
          <w:sz w:val="32"/>
          <w:szCs w:val="32"/>
          <w:vertAlign w:val="subscript"/>
        </w:rPr>
        <w:t>ep</w:t>
      </w:r>
      <w:r>
        <w:rPr>
          <w:rFonts w:hint="eastAsia" w:ascii="宋体" w:hAnsi="宋体"/>
          <w:color w:val="000000"/>
          <w:sz w:val="24"/>
          <w:szCs w:val="24"/>
        </w:rPr>
        <w:t>是指接地网边缘起算的距离。</w:t>
      </w:r>
    </w:p>
    <w:p>
      <w:pPr>
        <w:pStyle w:val="3"/>
        <w:spacing w:before="480" w:after="120"/>
      </w:pPr>
      <w:bookmarkStart w:id="78" w:name="_Toc43819501"/>
      <w:bookmarkStart w:id="79" w:name="_Toc43819646"/>
      <w:r>
        <w:rPr>
          <w:rFonts w:hint="eastAsia"/>
        </w:rPr>
        <w:t>5.5</w:t>
      </w:r>
      <w:r>
        <w:t xml:space="preserve"> </w:t>
      </w:r>
      <w:r>
        <w:rPr>
          <w:rFonts w:hint="eastAsia"/>
        </w:rPr>
        <w:t>结果判定</w:t>
      </w:r>
      <w:bookmarkEnd w:id="78"/>
      <w:bookmarkEnd w:id="79"/>
    </w:p>
    <w:p>
      <w:pPr>
        <w:adjustRightInd w:val="0"/>
        <w:snapToGrid w:val="0"/>
        <w:spacing w:line="440" w:lineRule="atLeast"/>
        <w:rPr>
          <w:rFonts w:ascii="宋体" w:hAnsi="宋体"/>
          <w:color w:val="000000"/>
          <w:sz w:val="24"/>
          <w:szCs w:val="24"/>
        </w:rPr>
      </w:pPr>
      <w:r>
        <w:rPr>
          <w:rFonts w:hint="eastAsia" w:ascii="宋体" w:hAnsi="宋体"/>
          <w:b/>
          <w:color w:val="000000"/>
          <w:sz w:val="24"/>
          <w:szCs w:val="24"/>
        </w:rPr>
        <w:t>5.5.5</w:t>
      </w:r>
      <w:r>
        <w:rPr>
          <w:rFonts w:ascii="宋体" w:hAnsi="宋体"/>
          <w:color w:val="000000"/>
          <w:sz w:val="24"/>
          <w:szCs w:val="24"/>
        </w:rPr>
        <w:t xml:space="preserve">  </w:t>
      </w:r>
      <w:r>
        <w:rPr>
          <w:rFonts w:hint="eastAsia" w:ascii="宋体" w:hAnsi="宋体"/>
          <w:color w:val="000000"/>
          <w:sz w:val="24"/>
          <w:szCs w:val="24"/>
        </w:rPr>
        <w:t>特别是对高土壤电阻率地区的接地装置，在接地电阻难以满足要求时，应采取有效措施，改变接地条件，直至复检合格后方可投入使用。</w:t>
      </w:r>
    </w:p>
    <w:sectPr>
      <w:pgSz w:w="11907" w:h="16839"/>
      <w:pgMar w:top="1701" w:right="1361" w:bottom="1701" w:left="1361" w:header="851" w:footer="992" w:gutter="0"/>
      <w:pgNumType w:start="1"/>
      <w:cols w:space="720" w:num="1"/>
      <w:docGrid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ì.">
    <w:altName w:val="仿宋"/>
    <w:panose1 w:val="00000000000000000000"/>
    <w:charset w:val="86"/>
    <w:family w:val="swiss"/>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20</w:t>
    </w:r>
    <w:r>
      <w:rPr>
        <w:lang w:val="zh-CN"/>
      </w:rP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B2923"/>
    <w:multiLevelType w:val="multilevel"/>
    <w:tmpl w:val="1F9B2923"/>
    <w:lvl w:ilvl="0" w:tentative="0">
      <w:start w:val="1"/>
      <w:numFmt w:val="decimal"/>
      <w:lvlText w:val="%1"/>
      <w:lvlJc w:val="left"/>
      <w:pPr>
        <w:ind w:left="1200" w:hanging="360"/>
      </w:pPr>
      <w:rPr>
        <w:rFonts w:hint="eastAsia"/>
        <w:b/>
        <w:i w:val="0"/>
      </w:rPr>
    </w:lvl>
    <w:lvl w:ilvl="1" w:tentative="0">
      <w:start w:val="1"/>
      <w:numFmt w:val="lowerLetter"/>
      <w:lvlText w:val="%2."/>
      <w:lvlJc w:val="left"/>
      <w:pPr>
        <w:ind w:left="1920" w:hanging="360"/>
      </w:pPr>
    </w:lvl>
    <w:lvl w:ilvl="2" w:tentative="0">
      <w:start w:val="1"/>
      <w:numFmt w:val="lowerRoman"/>
      <w:lvlText w:val="%3."/>
      <w:lvlJc w:val="right"/>
      <w:pPr>
        <w:ind w:left="2640" w:hanging="180"/>
      </w:pPr>
    </w:lvl>
    <w:lvl w:ilvl="3" w:tentative="0">
      <w:start w:val="1"/>
      <w:numFmt w:val="decimal"/>
      <w:lvlText w:val="%4."/>
      <w:lvlJc w:val="left"/>
      <w:pPr>
        <w:ind w:left="3360" w:hanging="360"/>
      </w:pPr>
    </w:lvl>
    <w:lvl w:ilvl="4" w:tentative="0">
      <w:start w:val="1"/>
      <w:numFmt w:val="lowerLetter"/>
      <w:lvlText w:val="%5."/>
      <w:lvlJc w:val="left"/>
      <w:pPr>
        <w:ind w:left="4080" w:hanging="360"/>
      </w:pPr>
    </w:lvl>
    <w:lvl w:ilvl="5" w:tentative="0">
      <w:start w:val="1"/>
      <w:numFmt w:val="lowerRoman"/>
      <w:lvlText w:val="%6."/>
      <w:lvlJc w:val="right"/>
      <w:pPr>
        <w:ind w:left="4800" w:hanging="180"/>
      </w:pPr>
    </w:lvl>
    <w:lvl w:ilvl="6" w:tentative="0">
      <w:start w:val="1"/>
      <w:numFmt w:val="decimal"/>
      <w:lvlText w:val="%7."/>
      <w:lvlJc w:val="left"/>
      <w:pPr>
        <w:ind w:left="5520" w:hanging="360"/>
      </w:pPr>
    </w:lvl>
    <w:lvl w:ilvl="7" w:tentative="0">
      <w:start w:val="1"/>
      <w:numFmt w:val="lowerLetter"/>
      <w:lvlText w:val="%8."/>
      <w:lvlJc w:val="left"/>
      <w:pPr>
        <w:ind w:left="6240" w:hanging="360"/>
      </w:pPr>
    </w:lvl>
    <w:lvl w:ilvl="8" w:tentative="0">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val="1"/>
  <w:bordersDoNotSurroundFooter w:val="1"/>
  <w:doNotTrackMoves/>
  <w:documentProtection w:enforcement="0"/>
  <w:defaultTabStop w:val="425"/>
  <w:drawingGridHorizontalSpacing w:val="105"/>
  <w:drawingGridVerticalSpacing w:val="230"/>
  <w:displayHorizontalDrawingGridEvery w:val="0"/>
  <w:displayVerticalDrawingGridEvery w:val="2"/>
  <w:doNotUseMarginsForDrawingGridOrigin w:val="1"/>
  <w:drawingGridHorizontalOrigin w:val="1588"/>
  <w:drawingGridVerticalOrigin w:val="1701"/>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72A27"/>
    <w:rsid w:val="00000101"/>
    <w:rsid w:val="00001717"/>
    <w:rsid w:val="00002052"/>
    <w:rsid w:val="000047FF"/>
    <w:rsid w:val="0000483F"/>
    <w:rsid w:val="000117E2"/>
    <w:rsid w:val="00011E49"/>
    <w:rsid w:val="0001280B"/>
    <w:rsid w:val="00012B89"/>
    <w:rsid w:val="000138A3"/>
    <w:rsid w:val="000144CE"/>
    <w:rsid w:val="00014F89"/>
    <w:rsid w:val="000159A6"/>
    <w:rsid w:val="00016FA9"/>
    <w:rsid w:val="00017357"/>
    <w:rsid w:val="00017CAD"/>
    <w:rsid w:val="0002095F"/>
    <w:rsid w:val="00020A7F"/>
    <w:rsid w:val="00021273"/>
    <w:rsid w:val="000231D1"/>
    <w:rsid w:val="00023AE2"/>
    <w:rsid w:val="00024DF6"/>
    <w:rsid w:val="0003099F"/>
    <w:rsid w:val="000315A6"/>
    <w:rsid w:val="000321FC"/>
    <w:rsid w:val="00032396"/>
    <w:rsid w:val="00033EE6"/>
    <w:rsid w:val="00033F60"/>
    <w:rsid w:val="00036968"/>
    <w:rsid w:val="0003705B"/>
    <w:rsid w:val="000379B4"/>
    <w:rsid w:val="00040511"/>
    <w:rsid w:val="000446E9"/>
    <w:rsid w:val="00044963"/>
    <w:rsid w:val="00044BD7"/>
    <w:rsid w:val="00045E6D"/>
    <w:rsid w:val="00047A5A"/>
    <w:rsid w:val="00051758"/>
    <w:rsid w:val="00051C79"/>
    <w:rsid w:val="00055C4E"/>
    <w:rsid w:val="00056253"/>
    <w:rsid w:val="000572FF"/>
    <w:rsid w:val="00060C92"/>
    <w:rsid w:val="00064F8F"/>
    <w:rsid w:val="00067546"/>
    <w:rsid w:val="00067F09"/>
    <w:rsid w:val="0007068A"/>
    <w:rsid w:val="00071DCA"/>
    <w:rsid w:val="00074751"/>
    <w:rsid w:val="00074B8B"/>
    <w:rsid w:val="00076F66"/>
    <w:rsid w:val="00083F55"/>
    <w:rsid w:val="00087790"/>
    <w:rsid w:val="00087C9E"/>
    <w:rsid w:val="00087F21"/>
    <w:rsid w:val="00090402"/>
    <w:rsid w:val="00091449"/>
    <w:rsid w:val="00091681"/>
    <w:rsid w:val="0009170D"/>
    <w:rsid w:val="000917B4"/>
    <w:rsid w:val="000969AB"/>
    <w:rsid w:val="000977E9"/>
    <w:rsid w:val="000A158E"/>
    <w:rsid w:val="000A1E30"/>
    <w:rsid w:val="000A27B5"/>
    <w:rsid w:val="000A4BCC"/>
    <w:rsid w:val="000A6415"/>
    <w:rsid w:val="000B0E01"/>
    <w:rsid w:val="000B1301"/>
    <w:rsid w:val="000B2BA2"/>
    <w:rsid w:val="000B51AD"/>
    <w:rsid w:val="000B68A5"/>
    <w:rsid w:val="000B6A31"/>
    <w:rsid w:val="000B7C0E"/>
    <w:rsid w:val="000C0603"/>
    <w:rsid w:val="000C657E"/>
    <w:rsid w:val="000D0F0F"/>
    <w:rsid w:val="000D2103"/>
    <w:rsid w:val="000D2FC2"/>
    <w:rsid w:val="000D377A"/>
    <w:rsid w:val="000D3CA8"/>
    <w:rsid w:val="000D5A07"/>
    <w:rsid w:val="000D5AAB"/>
    <w:rsid w:val="000D60D9"/>
    <w:rsid w:val="000D677A"/>
    <w:rsid w:val="000D69B0"/>
    <w:rsid w:val="000D69FB"/>
    <w:rsid w:val="000D70AE"/>
    <w:rsid w:val="000E0420"/>
    <w:rsid w:val="000E06AC"/>
    <w:rsid w:val="000E19A8"/>
    <w:rsid w:val="000E3ACA"/>
    <w:rsid w:val="000E41C3"/>
    <w:rsid w:val="000E4320"/>
    <w:rsid w:val="000E5C10"/>
    <w:rsid w:val="000E5D3B"/>
    <w:rsid w:val="000E645C"/>
    <w:rsid w:val="000E65A4"/>
    <w:rsid w:val="000F1147"/>
    <w:rsid w:val="000F1A5D"/>
    <w:rsid w:val="000F1CA9"/>
    <w:rsid w:val="000F3C8A"/>
    <w:rsid w:val="000F5691"/>
    <w:rsid w:val="000F67F7"/>
    <w:rsid w:val="000F6F18"/>
    <w:rsid w:val="00100A20"/>
    <w:rsid w:val="00102F9D"/>
    <w:rsid w:val="001031EB"/>
    <w:rsid w:val="001045E2"/>
    <w:rsid w:val="001063DB"/>
    <w:rsid w:val="00113F45"/>
    <w:rsid w:val="00115796"/>
    <w:rsid w:val="00120980"/>
    <w:rsid w:val="0012146D"/>
    <w:rsid w:val="00121C14"/>
    <w:rsid w:val="00122B55"/>
    <w:rsid w:val="00124606"/>
    <w:rsid w:val="00130C6F"/>
    <w:rsid w:val="001327AC"/>
    <w:rsid w:val="0014285A"/>
    <w:rsid w:val="00143138"/>
    <w:rsid w:val="0014353A"/>
    <w:rsid w:val="001447C2"/>
    <w:rsid w:val="0015120A"/>
    <w:rsid w:val="001538FC"/>
    <w:rsid w:val="00155850"/>
    <w:rsid w:val="00156254"/>
    <w:rsid w:val="00161CCD"/>
    <w:rsid w:val="001635D3"/>
    <w:rsid w:val="001636B3"/>
    <w:rsid w:val="00163A58"/>
    <w:rsid w:val="001641BA"/>
    <w:rsid w:val="001708D9"/>
    <w:rsid w:val="00172A27"/>
    <w:rsid w:val="00172C38"/>
    <w:rsid w:val="00172E59"/>
    <w:rsid w:val="00175BD5"/>
    <w:rsid w:val="00177526"/>
    <w:rsid w:val="001809D8"/>
    <w:rsid w:val="0018269D"/>
    <w:rsid w:val="00182A3C"/>
    <w:rsid w:val="00182F01"/>
    <w:rsid w:val="00183FE6"/>
    <w:rsid w:val="00184073"/>
    <w:rsid w:val="00185A76"/>
    <w:rsid w:val="00190F64"/>
    <w:rsid w:val="0019109D"/>
    <w:rsid w:val="00191D90"/>
    <w:rsid w:val="001927C6"/>
    <w:rsid w:val="00192A58"/>
    <w:rsid w:val="00197916"/>
    <w:rsid w:val="00197A02"/>
    <w:rsid w:val="001A033F"/>
    <w:rsid w:val="001A52FF"/>
    <w:rsid w:val="001B16A6"/>
    <w:rsid w:val="001B1FCA"/>
    <w:rsid w:val="001B2A30"/>
    <w:rsid w:val="001B34B8"/>
    <w:rsid w:val="001B6DB8"/>
    <w:rsid w:val="001B7565"/>
    <w:rsid w:val="001C0684"/>
    <w:rsid w:val="001C179A"/>
    <w:rsid w:val="001C4788"/>
    <w:rsid w:val="001C6F7F"/>
    <w:rsid w:val="001D140F"/>
    <w:rsid w:val="001D266E"/>
    <w:rsid w:val="001D2D68"/>
    <w:rsid w:val="001D3212"/>
    <w:rsid w:val="001D42DD"/>
    <w:rsid w:val="001D530B"/>
    <w:rsid w:val="001D5382"/>
    <w:rsid w:val="001D74B4"/>
    <w:rsid w:val="001D7F68"/>
    <w:rsid w:val="001E4808"/>
    <w:rsid w:val="001E4851"/>
    <w:rsid w:val="001E74D8"/>
    <w:rsid w:val="001F0022"/>
    <w:rsid w:val="001F17BF"/>
    <w:rsid w:val="001F4FB9"/>
    <w:rsid w:val="001F5210"/>
    <w:rsid w:val="001F60F2"/>
    <w:rsid w:val="001F64DD"/>
    <w:rsid w:val="001F7061"/>
    <w:rsid w:val="001F7E1D"/>
    <w:rsid w:val="0020062E"/>
    <w:rsid w:val="00200789"/>
    <w:rsid w:val="00202347"/>
    <w:rsid w:val="00202C5C"/>
    <w:rsid w:val="00205531"/>
    <w:rsid w:val="0020746C"/>
    <w:rsid w:val="00207A82"/>
    <w:rsid w:val="002134B4"/>
    <w:rsid w:val="00213EA2"/>
    <w:rsid w:val="00214339"/>
    <w:rsid w:val="002146D1"/>
    <w:rsid w:val="00214F31"/>
    <w:rsid w:val="00216E62"/>
    <w:rsid w:val="002206C0"/>
    <w:rsid w:val="0022443A"/>
    <w:rsid w:val="00224F39"/>
    <w:rsid w:val="00225C9E"/>
    <w:rsid w:val="002261FA"/>
    <w:rsid w:val="00226492"/>
    <w:rsid w:val="00227F44"/>
    <w:rsid w:val="0023147C"/>
    <w:rsid w:val="00231555"/>
    <w:rsid w:val="002315DD"/>
    <w:rsid w:val="00234D2E"/>
    <w:rsid w:val="00235810"/>
    <w:rsid w:val="00240DE7"/>
    <w:rsid w:val="00241558"/>
    <w:rsid w:val="002417A4"/>
    <w:rsid w:val="00241FA4"/>
    <w:rsid w:val="002438CF"/>
    <w:rsid w:val="00244F40"/>
    <w:rsid w:val="00250B11"/>
    <w:rsid w:val="0025108F"/>
    <w:rsid w:val="00254596"/>
    <w:rsid w:val="00254FD1"/>
    <w:rsid w:val="00256506"/>
    <w:rsid w:val="002567EE"/>
    <w:rsid w:val="00256C5B"/>
    <w:rsid w:val="00260302"/>
    <w:rsid w:val="00264ED9"/>
    <w:rsid w:val="00265021"/>
    <w:rsid w:val="00265501"/>
    <w:rsid w:val="00265813"/>
    <w:rsid w:val="00265890"/>
    <w:rsid w:val="0027004C"/>
    <w:rsid w:val="00272E95"/>
    <w:rsid w:val="00275763"/>
    <w:rsid w:val="00276DA0"/>
    <w:rsid w:val="00276E47"/>
    <w:rsid w:val="0027794C"/>
    <w:rsid w:val="00280999"/>
    <w:rsid w:val="00280BC0"/>
    <w:rsid w:val="0028593C"/>
    <w:rsid w:val="00286B61"/>
    <w:rsid w:val="0029435B"/>
    <w:rsid w:val="00296961"/>
    <w:rsid w:val="002A16E5"/>
    <w:rsid w:val="002A4CDA"/>
    <w:rsid w:val="002A600E"/>
    <w:rsid w:val="002A7318"/>
    <w:rsid w:val="002A73FD"/>
    <w:rsid w:val="002B2909"/>
    <w:rsid w:val="002B2DC5"/>
    <w:rsid w:val="002B3601"/>
    <w:rsid w:val="002B46E4"/>
    <w:rsid w:val="002B624E"/>
    <w:rsid w:val="002C3EAB"/>
    <w:rsid w:val="002C4204"/>
    <w:rsid w:val="002C50D0"/>
    <w:rsid w:val="002C5314"/>
    <w:rsid w:val="002C5B26"/>
    <w:rsid w:val="002D2312"/>
    <w:rsid w:val="002D7013"/>
    <w:rsid w:val="002D78A0"/>
    <w:rsid w:val="002D7E8A"/>
    <w:rsid w:val="002E24FC"/>
    <w:rsid w:val="002E3CD3"/>
    <w:rsid w:val="002E7A9F"/>
    <w:rsid w:val="002F1E8C"/>
    <w:rsid w:val="002F3254"/>
    <w:rsid w:val="002F4DEF"/>
    <w:rsid w:val="002F4F90"/>
    <w:rsid w:val="002F603B"/>
    <w:rsid w:val="002F6577"/>
    <w:rsid w:val="003034C2"/>
    <w:rsid w:val="003036D9"/>
    <w:rsid w:val="00303974"/>
    <w:rsid w:val="00303D98"/>
    <w:rsid w:val="00303FE6"/>
    <w:rsid w:val="00304616"/>
    <w:rsid w:val="00306BA0"/>
    <w:rsid w:val="003077DE"/>
    <w:rsid w:val="00310E2D"/>
    <w:rsid w:val="00310F18"/>
    <w:rsid w:val="00311350"/>
    <w:rsid w:val="00312288"/>
    <w:rsid w:val="003122F5"/>
    <w:rsid w:val="0031230E"/>
    <w:rsid w:val="00320469"/>
    <w:rsid w:val="0032220A"/>
    <w:rsid w:val="00323F26"/>
    <w:rsid w:val="00324E50"/>
    <w:rsid w:val="00325A3A"/>
    <w:rsid w:val="003273D8"/>
    <w:rsid w:val="00335EC3"/>
    <w:rsid w:val="00340E0B"/>
    <w:rsid w:val="003415C7"/>
    <w:rsid w:val="003451EA"/>
    <w:rsid w:val="00347488"/>
    <w:rsid w:val="00350C00"/>
    <w:rsid w:val="00352397"/>
    <w:rsid w:val="003539D2"/>
    <w:rsid w:val="003541F4"/>
    <w:rsid w:val="00355CCC"/>
    <w:rsid w:val="003560D4"/>
    <w:rsid w:val="003569AB"/>
    <w:rsid w:val="00357557"/>
    <w:rsid w:val="00361099"/>
    <w:rsid w:val="003613B4"/>
    <w:rsid w:val="0036349D"/>
    <w:rsid w:val="003636D0"/>
    <w:rsid w:val="003659D2"/>
    <w:rsid w:val="00365A5D"/>
    <w:rsid w:val="00371330"/>
    <w:rsid w:val="00374CEB"/>
    <w:rsid w:val="00376407"/>
    <w:rsid w:val="003769AF"/>
    <w:rsid w:val="00377A2A"/>
    <w:rsid w:val="003815EE"/>
    <w:rsid w:val="0038377D"/>
    <w:rsid w:val="0038538B"/>
    <w:rsid w:val="00387F2D"/>
    <w:rsid w:val="00391105"/>
    <w:rsid w:val="00392077"/>
    <w:rsid w:val="00393100"/>
    <w:rsid w:val="003932AE"/>
    <w:rsid w:val="00393641"/>
    <w:rsid w:val="00395164"/>
    <w:rsid w:val="003976BF"/>
    <w:rsid w:val="003A08B6"/>
    <w:rsid w:val="003A18E4"/>
    <w:rsid w:val="003A2EEC"/>
    <w:rsid w:val="003A3260"/>
    <w:rsid w:val="003A48BD"/>
    <w:rsid w:val="003A5CF7"/>
    <w:rsid w:val="003A6390"/>
    <w:rsid w:val="003A6EAD"/>
    <w:rsid w:val="003B1ADB"/>
    <w:rsid w:val="003B1CF8"/>
    <w:rsid w:val="003B29FA"/>
    <w:rsid w:val="003B484C"/>
    <w:rsid w:val="003B4C82"/>
    <w:rsid w:val="003B53EC"/>
    <w:rsid w:val="003B5685"/>
    <w:rsid w:val="003B5C31"/>
    <w:rsid w:val="003B61CA"/>
    <w:rsid w:val="003B7009"/>
    <w:rsid w:val="003B7B44"/>
    <w:rsid w:val="003B7DF9"/>
    <w:rsid w:val="003C011D"/>
    <w:rsid w:val="003C32C1"/>
    <w:rsid w:val="003C4880"/>
    <w:rsid w:val="003C4E1A"/>
    <w:rsid w:val="003C529F"/>
    <w:rsid w:val="003C548B"/>
    <w:rsid w:val="003C5BB2"/>
    <w:rsid w:val="003D0B72"/>
    <w:rsid w:val="003D152A"/>
    <w:rsid w:val="003D3511"/>
    <w:rsid w:val="003D3CFA"/>
    <w:rsid w:val="003D6456"/>
    <w:rsid w:val="003D68E8"/>
    <w:rsid w:val="003E22A8"/>
    <w:rsid w:val="003E41AD"/>
    <w:rsid w:val="003E4A48"/>
    <w:rsid w:val="003E5EB3"/>
    <w:rsid w:val="003E64E4"/>
    <w:rsid w:val="003E7BDE"/>
    <w:rsid w:val="003E7F7B"/>
    <w:rsid w:val="003F52F6"/>
    <w:rsid w:val="003F7FA1"/>
    <w:rsid w:val="00400DA1"/>
    <w:rsid w:val="00400FAE"/>
    <w:rsid w:val="00402B7A"/>
    <w:rsid w:val="00405656"/>
    <w:rsid w:val="00407370"/>
    <w:rsid w:val="004113DE"/>
    <w:rsid w:val="00411BF4"/>
    <w:rsid w:val="0041380C"/>
    <w:rsid w:val="00414065"/>
    <w:rsid w:val="004145DB"/>
    <w:rsid w:val="00414A12"/>
    <w:rsid w:val="0041788E"/>
    <w:rsid w:val="00420082"/>
    <w:rsid w:val="00421329"/>
    <w:rsid w:val="00422A9F"/>
    <w:rsid w:val="004253D3"/>
    <w:rsid w:val="00426824"/>
    <w:rsid w:val="00426ADB"/>
    <w:rsid w:val="00427760"/>
    <w:rsid w:val="004319D7"/>
    <w:rsid w:val="00432F72"/>
    <w:rsid w:val="00433378"/>
    <w:rsid w:val="004348DA"/>
    <w:rsid w:val="00435013"/>
    <w:rsid w:val="004365B8"/>
    <w:rsid w:val="00436D8D"/>
    <w:rsid w:val="00437C63"/>
    <w:rsid w:val="00441B3E"/>
    <w:rsid w:val="00444B75"/>
    <w:rsid w:val="00444BAB"/>
    <w:rsid w:val="00452149"/>
    <w:rsid w:val="00452762"/>
    <w:rsid w:val="00454CEB"/>
    <w:rsid w:val="00454EFA"/>
    <w:rsid w:val="00455633"/>
    <w:rsid w:val="00455813"/>
    <w:rsid w:val="0045653D"/>
    <w:rsid w:val="00460DDC"/>
    <w:rsid w:val="00461E46"/>
    <w:rsid w:val="004628C1"/>
    <w:rsid w:val="00465E6C"/>
    <w:rsid w:val="004677ED"/>
    <w:rsid w:val="00470B7F"/>
    <w:rsid w:val="004712BF"/>
    <w:rsid w:val="00472692"/>
    <w:rsid w:val="00475C55"/>
    <w:rsid w:val="004802BF"/>
    <w:rsid w:val="00480963"/>
    <w:rsid w:val="00480D86"/>
    <w:rsid w:val="00481EC1"/>
    <w:rsid w:val="004869B6"/>
    <w:rsid w:val="00487B99"/>
    <w:rsid w:val="00491B28"/>
    <w:rsid w:val="00492321"/>
    <w:rsid w:val="0049443D"/>
    <w:rsid w:val="00495C81"/>
    <w:rsid w:val="00496473"/>
    <w:rsid w:val="00496BB0"/>
    <w:rsid w:val="004A0AB6"/>
    <w:rsid w:val="004B3B23"/>
    <w:rsid w:val="004B5541"/>
    <w:rsid w:val="004B70AF"/>
    <w:rsid w:val="004C0B56"/>
    <w:rsid w:val="004C3632"/>
    <w:rsid w:val="004C493C"/>
    <w:rsid w:val="004C4DC6"/>
    <w:rsid w:val="004C6F4A"/>
    <w:rsid w:val="004C7911"/>
    <w:rsid w:val="004D1562"/>
    <w:rsid w:val="004D208E"/>
    <w:rsid w:val="004D2929"/>
    <w:rsid w:val="004D520A"/>
    <w:rsid w:val="004D5342"/>
    <w:rsid w:val="004D70FF"/>
    <w:rsid w:val="004D7AF7"/>
    <w:rsid w:val="004D7BC2"/>
    <w:rsid w:val="004E053B"/>
    <w:rsid w:val="004E0C38"/>
    <w:rsid w:val="004E0F92"/>
    <w:rsid w:val="004E19AF"/>
    <w:rsid w:val="004E465C"/>
    <w:rsid w:val="004E4934"/>
    <w:rsid w:val="004E79DC"/>
    <w:rsid w:val="004E7CD8"/>
    <w:rsid w:val="004F2737"/>
    <w:rsid w:val="004F5F28"/>
    <w:rsid w:val="004F604D"/>
    <w:rsid w:val="004F7136"/>
    <w:rsid w:val="00500523"/>
    <w:rsid w:val="005007C9"/>
    <w:rsid w:val="00501256"/>
    <w:rsid w:val="00501739"/>
    <w:rsid w:val="00503739"/>
    <w:rsid w:val="00507356"/>
    <w:rsid w:val="00510D1C"/>
    <w:rsid w:val="0051427B"/>
    <w:rsid w:val="00520915"/>
    <w:rsid w:val="00520A95"/>
    <w:rsid w:val="005210B9"/>
    <w:rsid w:val="0052435C"/>
    <w:rsid w:val="00525FD5"/>
    <w:rsid w:val="00526572"/>
    <w:rsid w:val="005314F3"/>
    <w:rsid w:val="00531B2A"/>
    <w:rsid w:val="005323EE"/>
    <w:rsid w:val="0053326B"/>
    <w:rsid w:val="00535DC3"/>
    <w:rsid w:val="00535FF0"/>
    <w:rsid w:val="00540396"/>
    <w:rsid w:val="00540A1F"/>
    <w:rsid w:val="00540AED"/>
    <w:rsid w:val="00541CA1"/>
    <w:rsid w:val="00542526"/>
    <w:rsid w:val="0054261E"/>
    <w:rsid w:val="00544FAF"/>
    <w:rsid w:val="00546BDD"/>
    <w:rsid w:val="00550563"/>
    <w:rsid w:val="00553DF4"/>
    <w:rsid w:val="005540E9"/>
    <w:rsid w:val="0055518B"/>
    <w:rsid w:val="00555AE5"/>
    <w:rsid w:val="00555B44"/>
    <w:rsid w:val="00555BF4"/>
    <w:rsid w:val="005578B8"/>
    <w:rsid w:val="00557DA4"/>
    <w:rsid w:val="00562282"/>
    <w:rsid w:val="00565BDA"/>
    <w:rsid w:val="00577900"/>
    <w:rsid w:val="00581466"/>
    <w:rsid w:val="00583DD9"/>
    <w:rsid w:val="00586C24"/>
    <w:rsid w:val="00586E82"/>
    <w:rsid w:val="00590A9C"/>
    <w:rsid w:val="005932BB"/>
    <w:rsid w:val="00595282"/>
    <w:rsid w:val="0059592A"/>
    <w:rsid w:val="00595D04"/>
    <w:rsid w:val="00596832"/>
    <w:rsid w:val="0059766E"/>
    <w:rsid w:val="005A4619"/>
    <w:rsid w:val="005A547D"/>
    <w:rsid w:val="005A58EE"/>
    <w:rsid w:val="005A771A"/>
    <w:rsid w:val="005B33C6"/>
    <w:rsid w:val="005B3C08"/>
    <w:rsid w:val="005B51D8"/>
    <w:rsid w:val="005B7002"/>
    <w:rsid w:val="005B7F8D"/>
    <w:rsid w:val="005C0B8B"/>
    <w:rsid w:val="005C1901"/>
    <w:rsid w:val="005C3FA7"/>
    <w:rsid w:val="005C44E7"/>
    <w:rsid w:val="005C5078"/>
    <w:rsid w:val="005C53FF"/>
    <w:rsid w:val="005C69AF"/>
    <w:rsid w:val="005D12AC"/>
    <w:rsid w:val="005D4669"/>
    <w:rsid w:val="005D5032"/>
    <w:rsid w:val="005D6617"/>
    <w:rsid w:val="005E0449"/>
    <w:rsid w:val="005E4BC8"/>
    <w:rsid w:val="005F228A"/>
    <w:rsid w:val="005F2E53"/>
    <w:rsid w:val="005F30D9"/>
    <w:rsid w:val="005F465A"/>
    <w:rsid w:val="005F6934"/>
    <w:rsid w:val="005F734E"/>
    <w:rsid w:val="005F74BA"/>
    <w:rsid w:val="006010D1"/>
    <w:rsid w:val="00601572"/>
    <w:rsid w:val="00602FE4"/>
    <w:rsid w:val="00603CA5"/>
    <w:rsid w:val="006045A5"/>
    <w:rsid w:val="00604766"/>
    <w:rsid w:val="00606EBE"/>
    <w:rsid w:val="00606F52"/>
    <w:rsid w:val="00607C45"/>
    <w:rsid w:val="0061049E"/>
    <w:rsid w:val="00611C9C"/>
    <w:rsid w:val="006120CC"/>
    <w:rsid w:val="00612527"/>
    <w:rsid w:val="00621EBD"/>
    <w:rsid w:val="00625670"/>
    <w:rsid w:val="00626CC3"/>
    <w:rsid w:val="00627397"/>
    <w:rsid w:val="006329FA"/>
    <w:rsid w:val="00632FAA"/>
    <w:rsid w:val="00635D2A"/>
    <w:rsid w:val="00637F70"/>
    <w:rsid w:val="00644677"/>
    <w:rsid w:val="00646D56"/>
    <w:rsid w:val="00647029"/>
    <w:rsid w:val="0065025E"/>
    <w:rsid w:val="006506C3"/>
    <w:rsid w:val="00651028"/>
    <w:rsid w:val="00651F45"/>
    <w:rsid w:val="0065216B"/>
    <w:rsid w:val="00660821"/>
    <w:rsid w:val="006626EC"/>
    <w:rsid w:val="00662D9D"/>
    <w:rsid w:val="00663897"/>
    <w:rsid w:val="00664F8E"/>
    <w:rsid w:val="00666E94"/>
    <w:rsid w:val="0067047F"/>
    <w:rsid w:val="00670721"/>
    <w:rsid w:val="0067349A"/>
    <w:rsid w:val="0067358C"/>
    <w:rsid w:val="006754DE"/>
    <w:rsid w:val="00675703"/>
    <w:rsid w:val="00680996"/>
    <w:rsid w:val="0068241E"/>
    <w:rsid w:val="00683483"/>
    <w:rsid w:val="00686058"/>
    <w:rsid w:val="00686CF6"/>
    <w:rsid w:val="00687A43"/>
    <w:rsid w:val="00690142"/>
    <w:rsid w:val="006946C8"/>
    <w:rsid w:val="006950A3"/>
    <w:rsid w:val="00695ED8"/>
    <w:rsid w:val="00696197"/>
    <w:rsid w:val="00697CC8"/>
    <w:rsid w:val="006A1751"/>
    <w:rsid w:val="006A17E5"/>
    <w:rsid w:val="006A3FDD"/>
    <w:rsid w:val="006A6FD6"/>
    <w:rsid w:val="006B3881"/>
    <w:rsid w:val="006B5753"/>
    <w:rsid w:val="006B5C5C"/>
    <w:rsid w:val="006B67B3"/>
    <w:rsid w:val="006C0CB1"/>
    <w:rsid w:val="006C40F6"/>
    <w:rsid w:val="006C4936"/>
    <w:rsid w:val="006C4F03"/>
    <w:rsid w:val="006C51CD"/>
    <w:rsid w:val="006C5A0A"/>
    <w:rsid w:val="006C6DFF"/>
    <w:rsid w:val="006D0E70"/>
    <w:rsid w:val="006D1532"/>
    <w:rsid w:val="006D222F"/>
    <w:rsid w:val="006D5986"/>
    <w:rsid w:val="006D74DE"/>
    <w:rsid w:val="006E1ECC"/>
    <w:rsid w:val="006E1FDE"/>
    <w:rsid w:val="006E416A"/>
    <w:rsid w:val="006E4D7F"/>
    <w:rsid w:val="006E6399"/>
    <w:rsid w:val="006E6CE0"/>
    <w:rsid w:val="006E6D73"/>
    <w:rsid w:val="006F131D"/>
    <w:rsid w:val="006F1AB2"/>
    <w:rsid w:val="006F2B76"/>
    <w:rsid w:val="006F2E0E"/>
    <w:rsid w:val="006F36F7"/>
    <w:rsid w:val="006F43C5"/>
    <w:rsid w:val="006F503C"/>
    <w:rsid w:val="006F5BF7"/>
    <w:rsid w:val="006F6D94"/>
    <w:rsid w:val="006F7006"/>
    <w:rsid w:val="007027A5"/>
    <w:rsid w:val="00704411"/>
    <w:rsid w:val="00706F40"/>
    <w:rsid w:val="00707A3E"/>
    <w:rsid w:val="007108D9"/>
    <w:rsid w:val="00710EF1"/>
    <w:rsid w:val="00713257"/>
    <w:rsid w:val="0071505E"/>
    <w:rsid w:val="0071511D"/>
    <w:rsid w:val="00717F66"/>
    <w:rsid w:val="007217F8"/>
    <w:rsid w:val="00722CC8"/>
    <w:rsid w:val="0072304C"/>
    <w:rsid w:val="00723906"/>
    <w:rsid w:val="00724806"/>
    <w:rsid w:val="00725C52"/>
    <w:rsid w:val="007267F1"/>
    <w:rsid w:val="007358D2"/>
    <w:rsid w:val="007364FC"/>
    <w:rsid w:val="00737617"/>
    <w:rsid w:val="007379F2"/>
    <w:rsid w:val="00740E50"/>
    <w:rsid w:val="00741472"/>
    <w:rsid w:val="00741791"/>
    <w:rsid w:val="00741DEB"/>
    <w:rsid w:val="00742B45"/>
    <w:rsid w:val="007447A0"/>
    <w:rsid w:val="00744868"/>
    <w:rsid w:val="00745FC5"/>
    <w:rsid w:val="007460EE"/>
    <w:rsid w:val="00746B65"/>
    <w:rsid w:val="00750E72"/>
    <w:rsid w:val="00752B88"/>
    <w:rsid w:val="00753367"/>
    <w:rsid w:val="007539B4"/>
    <w:rsid w:val="00753BE2"/>
    <w:rsid w:val="007548A9"/>
    <w:rsid w:val="00754EE3"/>
    <w:rsid w:val="007555C2"/>
    <w:rsid w:val="00757394"/>
    <w:rsid w:val="00757F29"/>
    <w:rsid w:val="007601DF"/>
    <w:rsid w:val="007605B7"/>
    <w:rsid w:val="00762DE7"/>
    <w:rsid w:val="0076514B"/>
    <w:rsid w:val="00765BC8"/>
    <w:rsid w:val="00766285"/>
    <w:rsid w:val="00770285"/>
    <w:rsid w:val="007810BD"/>
    <w:rsid w:val="0078200B"/>
    <w:rsid w:val="00782303"/>
    <w:rsid w:val="00782358"/>
    <w:rsid w:val="00783CE4"/>
    <w:rsid w:val="00784082"/>
    <w:rsid w:val="00784D61"/>
    <w:rsid w:val="00785871"/>
    <w:rsid w:val="00791F17"/>
    <w:rsid w:val="0079343D"/>
    <w:rsid w:val="00793505"/>
    <w:rsid w:val="0079646A"/>
    <w:rsid w:val="00797B49"/>
    <w:rsid w:val="00797EB2"/>
    <w:rsid w:val="007A014E"/>
    <w:rsid w:val="007A1845"/>
    <w:rsid w:val="007A543B"/>
    <w:rsid w:val="007A6CDF"/>
    <w:rsid w:val="007B3566"/>
    <w:rsid w:val="007B36E5"/>
    <w:rsid w:val="007B49AF"/>
    <w:rsid w:val="007B5E9E"/>
    <w:rsid w:val="007B706B"/>
    <w:rsid w:val="007B791B"/>
    <w:rsid w:val="007C23DB"/>
    <w:rsid w:val="007C3D42"/>
    <w:rsid w:val="007C4106"/>
    <w:rsid w:val="007C76B0"/>
    <w:rsid w:val="007D23BF"/>
    <w:rsid w:val="007D302B"/>
    <w:rsid w:val="007D401B"/>
    <w:rsid w:val="007D50A3"/>
    <w:rsid w:val="007D59DD"/>
    <w:rsid w:val="007D5FBB"/>
    <w:rsid w:val="007D7B0E"/>
    <w:rsid w:val="007D7C2A"/>
    <w:rsid w:val="007E065D"/>
    <w:rsid w:val="007E164E"/>
    <w:rsid w:val="007E2755"/>
    <w:rsid w:val="007E4C44"/>
    <w:rsid w:val="007E4DB6"/>
    <w:rsid w:val="007E4E8D"/>
    <w:rsid w:val="007E5AAA"/>
    <w:rsid w:val="007F18F5"/>
    <w:rsid w:val="007F1F58"/>
    <w:rsid w:val="007F3770"/>
    <w:rsid w:val="007F58F9"/>
    <w:rsid w:val="0080067A"/>
    <w:rsid w:val="0080122C"/>
    <w:rsid w:val="008036E7"/>
    <w:rsid w:val="008038AB"/>
    <w:rsid w:val="00805DDB"/>
    <w:rsid w:val="00810063"/>
    <w:rsid w:val="008115BC"/>
    <w:rsid w:val="0081212B"/>
    <w:rsid w:val="0081476E"/>
    <w:rsid w:val="00814916"/>
    <w:rsid w:val="0081505F"/>
    <w:rsid w:val="00820226"/>
    <w:rsid w:val="008266BA"/>
    <w:rsid w:val="00832824"/>
    <w:rsid w:val="00833339"/>
    <w:rsid w:val="008376B6"/>
    <w:rsid w:val="00840487"/>
    <w:rsid w:val="00842183"/>
    <w:rsid w:val="00845275"/>
    <w:rsid w:val="008463FE"/>
    <w:rsid w:val="00847802"/>
    <w:rsid w:val="008513C0"/>
    <w:rsid w:val="0085142D"/>
    <w:rsid w:val="00851B43"/>
    <w:rsid w:val="00854A37"/>
    <w:rsid w:val="008553BA"/>
    <w:rsid w:val="00856CE4"/>
    <w:rsid w:val="00857192"/>
    <w:rsid w:val="0086144C"/>
    <w:rsid w:val="00862423"/>
    <w:rsid w:val="008627A4"/>
    <w:rsid w:val="00862D95"/>
    <w:rsid w:val="00864564"/>
    <w:rsid w:val="0086599D"/>
    <w:rsid w:val="00866701"/>
    <w:rsid w:val="0086686D"/>
    <w:rsid w:val="00870722"/>
    <w:rsid w:val="00873C67"/>
    <w:rsid w:val="00874F35"/>
    <w:rsid w:val="008751E1"/>
    <w:rsid w:val="00875C36"/>
    <w:rsid w:val="008761A6"/>
    <w:rsid w:val="00877323"/>
    <w:rsid w:val="00877F34"/>
    <w:rsid w:val="008811C7"/>
    <w:rsid w:val="00883A5C"/>
    <w:rsid w:val="008848C6"/>
    <w:rsid w:val="00885ABF"/>
    <w:rsid w:val="00885D6C"/>
    <w:rsid w:val="0088757F"/>
    <w:rsid w:val="00887721"/>
    <w:rsid w:val="00890226"/>
    <w:rsid w:val="0089091E"/>
    <w:rsid w:val="00890F07"/>
    <w:rsid w:val="0089227A"/>
    <w:rsid w:val="00894A39"/>
    <w:rsid w:val="00895958"/>
    <w:rsid w:val="00895F12"/>
    <w:rsid w:val="0089674E"/>
    <w:rsid w:val="008A01D2"/>
    <w:rsid w:val="008A0EE0"/>
    <w:rsid w:val="008A1568"/>
    <w:rsid w:val="008A313E"/>
    <w:rsid w:val="008A4F02"/>
    <w:rsid w:val="008B0E67"/>
    <w:rsid w:val="008B1FE5"/>
    <w:rsid w:val="008B3A04"/>
    <w:rsid w:val="008B3C75"/>
    <w:rsid w:val="008B646F"/>
    <w:rsid w:val="008B73D1"/>
    <w:rsid w:val="008B7F90"/>
    <w:rsid w:val="008C02CE"/>
    <w:rsid w:val="008C0775"/>
    <w:rsid w:val="008C2184"/>
    <w:rsid w:val="008C2407"/>
    <w:rsid w:val="008C2B0E"/>
    <w:rsid w:val="008C54D5"/>
    <w:rsid w:val="008C6953"/>
    <w:rsid w:val="008C7BA2"/>
    <w:rsid w:val="008D0678"/>
    <w:rsid w:val="008E0C68"/>
    <w:rsid w:val="008E125A"/>
    <w:rsid w:val="008E1B0B"/>
    <w:rsid w:val="008E2F1F"/>
    <w:rsid w:val="008E2FC4"/>
    <w:rsid w:val="008E39ED"/>
    <w:rsid w:val="008E4195"/>
    <w:rsid w:val="008E5311"/>
    <w:rsid w:val="008E5954"/>
    <w:rsid w:val="008E5CCB"/>
    <w:rsid w:val="008E5DCA"/>
    <w:rsid w:val="008E6ED2"/>
    <w:rsid w:val="008F1F92"/>
    <w:rsid w:val="008F31D1"/>
    <w:rsid w:val="008F791A"/>
    <w:rsid w:val="00901734"/>
    <w:rsid w:val="00901B13"/>
    <w:rsid w:val="00904002"/>
    <w:rsid w:val="00905ED1"/>
    <w:rsid w:val="00912452"/>
    <w:rsid w:val="00912787"/>
    <w:rsid w:val="00912C4E"/>
    <w:rsid w:val="00912C9F"/>
    <w:rsid w:val="00913C76"/>
    <w:rsid w:val="00914395"/>
    <w:rsid w:val="00915FCB"/>
    <w:rsid w:val="009176C8"/>
    <w:rsid w:val="009212C9"/>
    <w:rsid w:val="00922204"/>
    <w:rsid w:val="00923142"/>
    <w:rsid w:val="0092547A"/>
    <w:rsid w:val="009311CC"/>
    <w:rsid w:val="009337BB"/>
    <w:rsid w:val="009348B5"/>
    <w:rsid w:val="00934B31"/>
    <w:rsid w:val="0094157C"/>
    <w:rsid w:val="00943D05"/>
    <w:rsid w:val="009454D6"/>
    <w:rsid w:val="009455EE"/>
    <w:rsid w:val="00946316"/>
    <w:rsid w:val="00946527"/>
    <w:rsid w:val="009474D6"/>
    <w:rsid w:val="00950471"/>
    <w:rsid w:val="009527C5"/>
    <w:rsid w:val="009539A8"/>
    <w:rsid w:val="00955E81"/>
    <w:rsid w:val="009561CE"/>
    <w:rsid w:val="00957DF3"/>
    <w:rsid w:val="00957F52"/>
    <w:rsid w:val="009614A9"/>
    <w:rsid w:val="009627D3"/>
    <w:rsid w:val="00963CF7"/>
    <w:rsid w:val="00964C63"/>
    <w:rsid w:val="00964E1E"/>
    <w:rsid w:val="00965A95"/>
    <w:rsid w:val="00971460"/>
    <w:rsid w:val="009731D6"/>
    <w:rsid w:val="00974CE7"/>
    <w:rsid w:val="00974EA5"/>
    <w:rsid w:val="0097520A"/>
    <w:rsid w:val="00976170"/>
    <w:rsid w:val="00981FC5"/>
    <w:rsid w:val="00983E79"/>
    <w:rsid w:val="009846E4"/>
    <w:rsid w:val="00984EE0"/>
    <w:rsid w:val="0098779C"/>
    <w:rsid w:val="00987AEF"/>
    <w:rsid w:val="009910E6"/>
    <w:rsid w:val="00993086"/>
    <w:rsid w:val="0099358E"/>
    <w:rsid w:val="009947E3"/>
    <w:rsid w:val="009A4C99"/>
    <w:rsid w:val="009A4D0C"/>
    <w:rsid w:val="009A59E8"/>
    <w:rsid w:val="009A66F4"/>
    <w:rsid w:val="009B130F"/>
    <w:rsid w:val="009B199D"/>
    <w:rsid w:val="009B322E"/>
    <w:rsid w:val="009B3803"/>
    <w:rsid w:val="009B6D74"/>
    <w:rsid w:val="009B7704"/>
    <w:rsid w:val="009B77B7"/>
    <w:rsid w:val="009C0C81"/>
    <w:rsid w:val="009C0D0D"/>
    <w:rsid w:val="009C310D"/>
    <w:rsid w:val="009C4391"/>
    <w:rsid w:val="009C663C"/>
    <w:rsid w:val="009D15AB"/>
    <w:rsid w:val="009D18D5"/>
    <w:rsid w:val="009D3C0E"/>
    <w:rsid w:val="009D413A"/>
    <w:rsid w:val="009D4E1A"/>
    <w:rsid w:val="009D7EA3"/>
    <w:rsid w:val="009E0FC4"/>
    <w:rsid w:val="009E163E"/>
    <w:rsid w:val="009E1B85"/>
    <w:rsid w:val="009E2BEB"/>
    <w:rsid w:val="009E4A0A"/>
    <w:rsid w:val="009E5E52"/>
    <w:rsid w:val="009E7184"/>
    <w:rsid w:val="009F0C41"/>
    <w:rsid w:val="009F1C20"/>
    <w:rsid w:val="009F5769"/>
    <w:rsid w:val="009F6044"/>
    <w:rsid w:val="009F633E"/>
    <w:rsid w:val="009F6526"/>
    <w:rsid w:val="00A00638"/>
    <w:rsid w:val="00A00744"/>
    <w:rsid w:val="00A01C53"/>
    <w:rsid w:val="00A02D21"/>
    <w:rsid w:val="00A04E5F"/>
    <w:rsid w:val="00A04F9B"/>
    <w:rsid w:val="00A05B17"/>
    <w:rsid w:val="00A108E9"/>
    <w:rsid w:val="00A114C8"/>
    <w:rsid w:val="00A1384D"/>
    <w:rsid w:val="00A143DA"/>
    <w:rsid w:val="00A17D79"/>
    <w:rsid w:val="00A201CD"/>
    <w:rsid w:val="00A203EA"/>
    <w:rsid w:val="00A21308"/>
    <w:rsid w:val="00A21534"/>
    <w:rsid w:val="00A21D31"/>
    <w:rsid w:val="00A229D5"/>
    <w:rsid w:val="00A23396"/>
    <w:rsid w:val="00A2454B"/>
    <w:rsid w:val="00A25DD9"/>
    <w:rsid w:val="00A26252"/>
    <w:rsid w:val="00A2670F"/>
    <w:rsid w:val="00A27361"/>
    <w:rsid w:val="00A27541"/>
    <w:rsid w:val="00A303DF"/>
    <w:rsid w:val="00A30A9D"/>
    <w:rsid w:val="00A30F3C"/>
    <w:rsid w:val="00A335FB"/>
    <w:rsid w:val="00A347CD"/>
    <w:rsid w:val="00A35A4F"/>
    <w:rsid w:val="00A36737"/>
    <w:rsid w:val="00A403C2"/>
    <w:rsid w:val="00A405F7"/>
    <w:rsid w:val="00A40DBC"/>
    <w:rsid w:val="00A423A6"/>
    <w:rsid w:val="00A42966"/>
    <w:rsid w:val="00A45029"/>
    <w:rsid w:val="00A45155"/>
    <w:rsid w:val="00A45AA7"/>
    <w:rsid w:val="00A45DEB"/>
    <w:rsid w:val="00A46B72"/>
    <w:rsid w:val="00A47ABC"/>
    <w:rsid w:val="00A5281A"/>
    <w:rsid w:val="00A5503B"/>
    <w:rsid w:val="00A57F1C"/>
    <w:rsid w:val="00A64538"/>
    <w:rsid w:val="00A66C29"/>
    <w:rsid w:val="00A67453"/>
    <w:rsid w:val="00A71F1A"/>
    <w:rsid w:val="00A75BA9"/>
    <w:rsid w:val="00A80C73"/>
    <w:rsid w:val="00A81510"/>
    <w:rsid w:val="00A82A84"/>
    <w:rsid w:val="00A82B9B"/>
    <w:rsid w:val="00A8332A"/>
    <w:rsid w:val="00A84755"/>
    <w:rsid w:val="00A86E50"/>
    <w:rsid w:val="00A91B56"/>
    <w:rsid w:val="00A94AB4"/>
    <w:rsid w:val="00A962DD"/>
    <w:rsid w:val="00A96C6A"/>
    <w:rsid w:val="00AA1A17"/>
    <w:rsid w:val="00AA1D16"/>
    <w:rsid w:val="00AA2B15"/>
    <w:rsid w:val="00AA2DAA"/>
    <w:rsid w:val="00AA3605"/>
    <w:rsid w:val="00AA73F8"/>
    <w:rsid w:val="00AB049B"/>
    <w:rsid w:val="00AB3C0C"/>
    <w:rsid w:val="00AB3E3F"/>
    <w:rsid w:val="00AB5F8B"/>
    <w:rsid w:val="00AB680D"/>
    <w:rsid w:val="00AB72CB"/>
    <w:rsid w:val="00AC15A5"/>
    <w:rsid w:val="00AC203B"/>
    <w:rsid w:val="00AC55B3"/>
    <w:rsid w:val="00AC6AD8"/>
    <w:rsid w:val="00AC7DB6"/>
    <w:rsid w:val="00AD0022"/>
    <w:rsid w:val="00AD14E4"/>
    <w:rsid w:val="00AD2892"/>
    <w:rsid w:val="00AD2D16"/>
    <w:rsid w:val="00AD3D9F"/>
    <w:rsid w:val="00AD7B73"/>
    <w:rsid w:val="00AE02FD"/>
    <w:rsid w:val="00AE2610"/>
    <w:rsid w:val="00AE4882"/>
    <w:rsid w:val="00AF44C8"/>
    <w:rsid w:val="00AF46CE"/>
    <w:rsid w:val="00AF7B80"/>
    <w:rsid w:val="00B01DD1"/>
    <w:rsid w:val="00B02B0C"/>
    <w:rsid w:val="00B039A5"/>
    <w:rsid w:val="00B04437"/>
    <w:rsid w:val="00B049D6"/>
    <w:rsid w:val="00B05655"/>
    <w:rsid w:val="00B068D2"/>
    <w:rsid w:val="00B07347"/>
    <w:rsid w:val="00B0744C"/>
    <w:rsid w:val="00B07C19"/>
    <w:rsid w:val="00B10050"/>
    <w:rsid w:val="00B10D04"/>
    <w:rsid w:val="00B14902"/>
    <w:rsid w:val="00B151F8"/>
    <w:rsid w:val="00B16978"/>
    <w:rsid w:val="00B176E2"/>
    <w:rsid w:val="00B17D82"/>
    <w:rsid w:val="00B20807"/>
    <w:rsid w:val="00B20C4E"/>
    <w:rsid w:val="00B21409"/>
    <w:rsid w:val="00B227E7"/>
    <w:rsid w:val="00B25246"/>
    <w:rsid w:val="00B25556"/>
    <w:rsid w:val="00B26908"/>
    <w:rsid w:val="00B26AFC"/>
    <w:rsid w:val="00B27911"/>
    <w:rsid w:val="00B346D9"/>
    <w:rsid w:val="00B34D2D"/>
    <w:rsid w:val="00B366EE"/>
    <w:rsid w:val="00B3687D"/>
    <w:rsid w:val="00B37E36"/>
    <w:rsid w:val="00B4374A"/>
    <w:rsid w:val="00B43CF9"/>
    <w:rsid w:val="00B44529"/>
    <w:rsid w:val="00B46C24"/>
    <w:rsid w:val="00B47F05"/>
    <w:rsid w:val="00B504D2"/>
    <w:rsid w:val="00B51075"/>
    <w:rsid w:val="00B51C6B"/>
    <w:rsid w:val="00B53197"/>
    <w:rsid w:val="00B53655"/>
    <w:rsid w:val="00B54E8E"/>
    <w:rsid w:val="00B55881"/>
    <w:rsid w:val="00B57C93"/>
    <w:rsid w:val="00B57D3B"/>
    <w:rsid w:val="00B613B6"/>
    <w:rsid w:val="00B62668"/>
    <w:rsid w:val="00B63BAD"/>
    <w:rsid w:val="00B6482C"/>
    <w:rsid w:val="00B6622C"/>
    <w:rsid w:val="00B71060"/>
    <w:rsid w:val="00B72F59"/>
    <w:rsid w:val="00B77B18"/>
    <w:rsid w:val="00B8092A"/>
    <w:rsid w:val="00B82FAE"/>
    <w:rsid w:val="00B83C9D"/>
    <w:rsid w:val="00B83FA0"/>
    <w:rsid w:val="00B87677"/>
    <w:rsid w:val="00B91CEA"/>
    <w:rsid w:val="00B923E7"/>
    <w:rsid w:val="00B92AAE"/>
    <w:rsid w:val="00B95912"/>
    <w:rsid w:val="00B97A8D"/>
    <w:rsid w:val="00B97CB8"/>
    <w:rsid w:val="00BA0B81"/>
    <w:rsid w:val="00BA2779"/>
    <w:rsid w:val="00BA2E9A"/>
    <w:rsid w:val="00BA6D6A"/>
    <w:rsid w:val="00BB15DB"/>
    <w:rsid w:val="00BB2897"/>
    <w:rsid w:val="00BB38A4"/>
    <w:rsid w:val="00BB4DF7"/>
    <w:rsid w:val="00BB5D4D"/>
    <w:rsid w:val="00BB71B3"/>
    <w:rsid w:val="00BC00DE"/>
    <w:rsid w:val="00BC05A8"/>
    <w:rsid w:val="00BC1C2E"/>
    <w:rsid w:val="00BC4288"/>
    <w:rsid w:val="00BC545B"/>
    <w:rsid w:val="00BC7DD1"/>
    <w:rsid w:val="00BD0052"/>
    <w:rsid w:val="00BD2280"/>
    <w:rsid w:val="00BD2A3F"/>
    <w:rsid w:val="00BD33C3"/>
    <w:rsid w:val="00BD442A"/>
    <w:rsid w:val="00BD6589"/>
    <w:rsid w:val="00BD6B1C"/>
    <w:rsid w:val="00BE0DF7"/>
    <w:rsid w:val="00BE1B9E"/>
    <w:rsid w:val="00BE1E47"/>
    <w:rsid w:val="00BE25C0"/>
    <w:rsid w:val="00BE41C9"/>
    <w:rsid w:val="00BE651D"/>
    <w:rsid w:val="00BF0CAF"/>
    <w:rsid w:val="00BF3A70"/>
    <w:rsid w:val="00BF41B5"/>
    <w:rsid w:val="00BF51F4"/>
    <w:rsid w:val="00BF6711"/>
    <w:rsid w:val="00BF7E19"/>
    <w:rsid w:val="00C01C5D"/>
    <w:rsid w:val="00C01F7C"/>
    <w:rsid w:val="00C05F0E"/>
    <w:rsid w:val="00C0779D"/>
    <w:rsid w:val="00C10622"/>
    <w:rsid w:val="00C11EF0"/>
    <w:rsid w:val="00C13474"/>
    <w:rsid w:val="00C140B3"/>
    <w:rsid w:val="00C1484A"/>
    <w:rsid w:val="00C14D4F"/>
    <w:rsid w:val="00C14F4A"/>
    <w:rsid w:val="00C1526F"/>
    <w:rsid w:val="00C16417"/>
    <w:rsid w:val="00C16964"/>
    <w:rsid w:val="00C16BE7"/>
    <w:rsid w:val="00C173A9"/>
    <w:rsid w:val="00C2002C"/>
    <w:rsid w:val="00C2168C"/>
    <w:rsid w:val="00C22B3D"/>
    <w:rsid w:val="00C22D07"/>
    <w:rsid w:val="00C253C0"/>
    <w:rsid w:val="00C26D3A"/>
    <w:rsid w:val="00C26FFE"/>
    <w:rsid w:val="00C272EB"/>
    <w:rsid w:val="00C27437"/>
    <w:rsid w:val="00C3157D"/>
    <w:rsid w:val="00C31A76"/>
    <w:rsid w:val="00C31FCE"/>
    <w:rsid w:val="00C371B1"/>
    <w:rsid w:val="00C37E49"/>
    <w:rsid w:val="00C4033D"/>
    <w:rsid w:val="00C4168B"/>
    <w:rsid w:val="00C41AA6"/>
    <w:rsid w:val="00C422A6"/>
    <w:rsid w:val="00C432B2"/>
    <w:rsid w:val="00C43A52"/>
    <w:rsid w:val="00C46BE4"/>
    <w:rsid w:val="00C53690"/>
    <w:rsid w:val="00C53E76"/>
    <w:rsid w:val="00C5470E"/>
    <w:rsid w:val="00C56CA8"/>
    <w:rsid w:val="00C61344"/>
    <w:rsid w:val="00C6223E"/>
    <w:rsid w:val="00C62F3D"/>
    <w:rsid w:val="00C644E2"/>
    <w:rsid w:val="00C6585D"/>
    <w:rsid w:val="00C6629E"/>
    <w:rsid w:val="00C66D17"/>
    <w:rsid w:val="00C66EC5"/>
    <w:rsid w:val="00C70B95"/>
    <w:rsid w:val="00C71978"/>
    <w:rsid w:val="00C719D3"/>
    <w:rsid w:val="00C7453F"/>
    <w:rsid w:val="00C75F2D"/>
    <w:rsid w:val="00C77284"/>
    <w:rsid w:val="00C77F31"/>
    <w:rsid w:val="00C80485"/>
    <w:rsid w:val="00C811A2"/>
    <w:rsid w:val="00C83183"/>
    <w:rsid w:val="00C832F0"/>
    <w:rsid w:val="00C83ED4"/>
    <w:rsid w:val="00C84A1E"/>
    <w:rsid w:val="00C854F0"/>
    <w:rsid w:val="00C87BFA"/>
    <w:rsid w:val="00C902AD"/>
    <w:rsid w:val="00C90693"/>
    <w:rsid w:val="00C937F8"/>
    <w:rsid w:val="00C93F91"/>
    <w:rsid w:val="00C94986"/>
    <w:rsid w:val="00C95110"/>
    <w:rsid w:val="00C978BD"/>
    <w:rsid w:val="00CA2597"/>
    <w:rsid w:val="00CA2A27"/>
    <w:rsid w:val="00CA34AD"/>
    <w:rsid w:val="00CA3E0C"/>
    <w:rsid w:val="00CA4111"/>
    <w:rsid w:val="00CA4994"/>
    <w:rsid w:val="00CA65EB"/>
    <w:rsid w:val="00CB0C17"/>
    <w:rsid w:val="00CB1579"/>
    <w:rsid w:val="00CB3544"/>
    <w:rsid w:val="00CB4797"/>
    <w:rsid w:val="00CB4E7E"/>
    <w:rsid w:val="00CB508C"/>
    <w:rsid w:val="00CB6DAA"/>
    <w:rsid w:val="00CB6E74"/>
    <w:rsid w:val="00CB73A8"/>
    <w:rsid w:val="00CC03A2"/>
    <w:rsid w:val="00CC2DAE"/>
    <w:rsid w:val="00CC317E"/>
    <w:rsid w:val="00CC31DB"/>
    <w:rsid w:val="00CC48AA"/>
    <w:rsid w:val="00CC6E08"/>
    <w:rsid w:val="00CD10EB"/>
    <w:rsid w:val="00CD24F4"/>
    <w:rsid w:val="00CD3658"/>
    <w:rsid w:val="00CE05B3"/>
    <w:rsid w:val="00CE1D28"/>
    <w:rsid w:val="00CE2585"/>
    <w:rsid w:val="00CE3283"/>
    <w:rsid w:val="00CE4BAE"/>
    <w:rsid w:val="00CE5693"/>
    <w:rsid w:val="00CE7557"/>
    <w:rsid w:val="00CF3942"/>
    <w:rsid w:val="00CF5959"/>
    <w:rsid w:val="00D03569"/>
    <w:rsid w:val="00D03CE9"/>
    <w:rsid w:val="00D04105"/>
    <w:rsid w:val="00D05328"/>
    <w:rsid w:val="00D07A0C"/>
    <w:rsid w:val="00D107A3"/>
    <w:rsid w:val="00D1396F"/>
    <w:rsid w:val="00D140B1"/>
    <w:rsid w:val="00D15027"/>
    <w:rsid w:val="00D156A2"/>
    <w:rsid w:val="00D1775D"/>
    <w:rsid w:val="00D203F8"/>
    <w:rsid w:val="00D20B26"/>
    <w:rsid w:val="00D264A7"/>
    <w:rsid w:val="00D26C92"/>
    <w:rsid w:val="00D31434"/>
    <w:rsid w:val="00D3193D"/>
    <w:rsid w:val="00D32D69"/>
    <w:rsid w:val="00D342B2"/>
    <w:rsid w:val="00D34FE6"/>
    <w:rsid w:val="00D35117"/>
    <w:rsid w:val="00D37554"/>
    <w:rsid w:val="00D413EF"/>
    <w:rsid w:val="00D435F2"/>
    <w:rsid w:val="00D4446F"/>
    <w:rsid w:val="00D464DB"/>
    <w:rsid w:val="00D50C3C"/>
    <w:rsid w:val="00D51CD3"/>
    <w:rsid w:val="00D528B2"/>
    <w:rsid w:val="00D617C6"/>
    <w:rsid w:val="00D61CC1"/>
    <w:rsid w:val="00D61F64"/>
    <w:rsid w:val="00D63C76"/>
    <w:rsid w:val="00D63EC8"/>
    <w:rsid w:val="00D6512B"/>
    <w:rsid w:val="00D70FD0"/>
    <w:rsid w:val="00D74283"/>
    <w:rsid w:val="00D803DA"/>
    <w:rsid w:val="00D80453"/>
    <w:rsid w:val="00D81BCE"/>
    <w:rsid w:val="00D83659"/>
    <w:rsid w:val="00D84EC2"/>
    <w:rsid w:val="00D860F6"/>
    <w:rsid w:val="00D86B96"/>
    <w:rsid w:val="00D925BC"/>
    <w:rsid w:val="00D931EC"/>
    <w:rsid w:val="00D942F3"/>
    <w:rsid w:val="00D9630E"/>
    <w:rsid w:val="00D97321"/>
    <w:rsid w:val="00D97BCB"/>
    <w:rsid w:val="00D97DEB"/>
    <w:rsid w:val="00D97E30"/>
    <w:rsid w:val="00DA0375"/>
    <w:rsid w:val="00DA3462"/>
    <w:rsid w:val="00DA4CF5"/>
    <w:rsid w:val="00DA5A23"/>
    <w:rsid w:val="00DA68A0"/>
    <w:rsid w:val="00DA6DD3"/>
    <w:rsid w:val="00DB172C"/>
    <w:rsid w:val="00DB1783"/>
    <w:rsid w:val="00DB1858"/>
    <w:rsid w:val="00DB2BBE"/>
    <w:rsid w:val="00DB3EA6"/>
    <w:rsid w:val="00DB4599"/>
    <w:rsid w:val="00DB46AA"/>
    <w:rsid w:val="00DB7FA6"/>
    <w:rsid w:val="00DC238B"/>
    <w:rsid w:val="00DC38FD"/>
    <w:rsid w:val="00DC44BB"/>
    <w:rsid w:val="00DC48DC"/>
    <w:rsid w:val="00DC517D"/>
    <w:rsid w:val="00DC5E65"/>
    <w:rsid w:val="00DC614E"/>
    <w:rsid w:val="00DC62F5"/>
    <w:rsid w:val="00DC7EE0"/>
    <w:rsid w:val="00DD2EFA"/>
    <w:rsid w:val="00DD497F"/>
    <w:rsid w:val="00DE001A"/>
    <w:rsid w:val="00DE2717"/>
    <w:rsid w:val="00DE2992"/>
    <w:rsid w:val="00DE33A5"/>
    <w:rsid w:val="00DE3F88"/>
    <w:rsid w:val="00DE44BF"/>
    <w:rsid w:val="00DE4A60"/>
    <w:rsid w:val="00DF1772"/>
    <w:rsid w:val="00DF7835"/>
    <w:rsid w:val="00DF7E32"/>
    <w:rsid w:val="00E00F43"/>
    <w:rsid w:val="00E01431"/>
    <w:rsid w:val="00E0465F"/>
    <w:rsid w:val="00E04879"/>
    <w:rsid w:val="00E0497C"/>
    <w:rsid w:val="00E1333A"/>
    <w:rsid w:val="00E14512"/>
    <w:rsid w:val="00E168E4"/>
    <w:rsid w:val="00E20CC1"/>
    <w:rsid w:val="00E228A9"/>
    <w:rsid w:val="00E243F3"/>
    <w:rsid w:val="00E25AE3"/>
    <w:rsid w:val="00E25F28"/>
    <w:rsid w:val="00E267D6"/>
    <w:rsid w:val="00E3456F"/>
    <w:rsid w:val="00E34CA2"/>
    <w:rsid w:val="00E35E8D"/>
    <w:rsid w:val="00E36585"/>
    <w:rsid w:val="00E3782C"/>
    <w:rsid w:val="00E408C7"/>
    <w:rsid w:val="00E4511C"/>
    <w:rsid w:val="00E52A2E"/>
    <w:rsid w:val="00E53218"/>
    <w:rsid w:val="00E561C0"/>
    <w:rsid w:val="00E563CF"/>
    <w:rsid w:val="00E62095"/>
    <w:rsid w:val="00E6258C"/>
    <w:rsid w:val="00E628F6"/>
    <w:rsid w:val="00E6376B"/>
    <w:rsid w:val="00E63AC4"/>
    <w:rsid w:val="00E65D7C"/>
    <w:rsid w:val="00E66008"/>
    <w:rsid w:val="00E6748D"/>
    <w:rsid w:val="00E674ED"/>
    <w:rsid w:val="00E716CE"/>
    <w:rsid w:val="00E73407"/>
    <w:rsid w:val="00E743D8"/>
    <w:rsid w:val="00E81412"/>
    <w:rsid w:val="00E8353E"/>
    <w:rsid w:val="00E837A6"/>
    <w:rsid w:val="00E83C68"/>
    <w:rsid w:val="00E84F03"/>
    <w:rsid w:val="00E85C4D"/>
    <w:rsid w:val="00E90D08"/>
    <w:rsid w:val="00E91D95"/>
    <w:rsid w:val="00E92FC5"/>
    <w:rsid w:val="00E955FC"/>
    <w:rsid w:val="00EA05A4"/>
    <w:rsid w:val="00EA109D"/>
    <w:rsid w:val="00EA154D"/>
    <w:rsid w:val="00EA3BA0"/>
    <w:rsid w:val="00EA5A73"/>
    <w:rsid w:val="00EA66F7"/>
    <w:rsid w:val="00EA6CDF"/>
    <w:rsid w:val="00EA7A05"/>
    <w:rsid w:val="00EB18DE"/>
    <w:rsid w:val="00EB2CCD"/>
    <w:rsid w:val="00EB3102"/>
    <w:rsid w:val="00EB4807"/>
    <w:rsid w:val="00EB4C28"/>
    <w:rsid w:val="00EB7B40"/>
    <w:rsid w:val="00EC07BF"/>
    <w:rsid w:val="00EC156D"/>
    <w:rsid w:val="00EC376E"/>
    <w:rsid w:val="00EC4207"/>
    <w:rsid w:val="00EC5E97"/>
    <w:rsid w:val="00EC6147"/>
    <w:rsid w:val="00EC70B4"/>
    <w:rsid w:val="00EC7DBA"/>
    <w:rsid w:val="00EC7FAE"/>
    <w:rsid w:val="00ED1F43"/>
    <w:rsid w:val="00ED1F9A"/>
    <w:rsid w:val="00ED5290"/>
    <w:rsid w:val="00EE0F42"/>
    <w:rsid w:val="00EE2A65"/>
    <w:rsid w:val="00EE52F2"/>
    <w:rsid w:val="00EE5E72"/>
    <w:rsid w:val="00EE729C"/>
    <w:rsid w:val="00EF2C5B"/>
    <w:rsid w:val="00EF43F3"/>
    <w:rsid w:val="00EF4A73"/>
    <w:rsid w:val="00EF5969"/>
    <w:rsid w:val="00EF60F9"/>
    <w:rsid w:val="00EF715B"/>
    <w:rsid w:val="00EF746A"/>
    <w:rsid w:val="00EF7AE1"/>
    <w:rsid w:val="00F0279A"/>
    <w:rsid w:val="00F02B66"/>
    <w:rsid w:val="00F02EA9"/>
    <w:rsid w:val="00F03927"/>
    <w:rsid w:val="00F1214A"/>
    <w:rsid w:val="00F1215F"/>
    <w:rsid w:val="00F12A3B"/>
    <w:rsid w:val="00F1550E"/>
    <w:rsid w:val="00F15EB1"/>
    <w:rsid w:val="00F22F67"/>
    <w:rsid w:val="00F23C2B"/>
    <w:rsid w:val="00F258ED"/>
    <w:rsid w:val="00F26128"/>
    <w:rsid w:val="00F266AD"/>
    <w:rsid w:val="00F36CA6"/>
    <w:rsid w:val="00F37EB1"/>
    <w:rsid w:val="00F46423"/>
    <w:rsid w:val="00F505D3"/>
    <w:rsid w:val="00F514FE"/>
    <w:rsid w:val="00F5388A"/>
    <w:rsid w:val="00F54211"/>
    <w:rsid w:val="00F54590"/>
    <w:rsid w:val="00F54847"/>
    <w:rsid w:val="00F57187"/>
    <w:rsid w:val="00F57F78"/>
    <w:rsid w:val="00F603EB"/>
    <w:rsid w:val="00F60D08"/>
    <w:rsid w:val="00F616C4"/>
    <w:rsid w:val="00F6208F"/>
    <w:rsid w:val="00F62B1D"/>
    <w:rsid w:val="00F638DF"/>
    <w:rsid w:val="00F63947"/>
    <w:rsid w:val="00F63A92"/>
    <w:rsid w:val="00F67090"/>
    <w:rsid w:val="00F7107F"/>
    <w:rsid w:val="00F71B01"/>
    <w:rsid w:val="00F72614"/>
    <w:rsid w:val="00F751E4"/>
    <w:rsid w:val="00F76406"/>
    <w:rsid w:val="00F76595"/>
    <w:rsid w:val="00F7747C"/>
    <w:rsid w:val="00F8037C"/>
    <w:rsid w:val="00F826AB"/>
    <w:rsid w:val="00F8378D"/>
    <w:rsid w:val="00F83DA0"/>
    <w:rsid w:val="00F83FB8"/>
    <w:rsid w:val="00F853CA"/>
    <w:rsid w:val="00F87CD3"/>
    <w:rsid w:val="00F90145"/>
    <w:rsid w:val="00F9090A"/>
    <w:rsid w:val="00F916B4"/>
    <w:rsid w:val="00F93321"/>
    <w:rsid w:val="00F9431E"/>
    <w:rsid w:val="00F95834"/>
    <w:rsid w:val="00F97FE8"/>
    <w:rsid w:val="00FA04AC"/>
    <w:rsid w:val="00FA10E4"/>
    <w:rsid w:val="00FA1596"/>
    <w:rsid w:val="00FA3436"/>
    <w:rsid w:val="00FA348F"/>
    <w:rsid w:val="00FA394F"/>
    <w:rsid w:val="00FA438F"/>
    <w:rsid w:val="00FA5D34"/>
    <w:rsid w:val="00FA5FC0"/>
    <w:rsid w:val="00FA7012"/>
    <w:rsid w:val="00FB02CE"/>
    <w:rsid w:val="00FB1575"/>
    <w:rsid w:val="00FB15A3"/>
    <w:rsid w:val="00FB15F6"/>
    <w:rsid w:val="00FB21DE"/>
    <w:rsid w:val="00FB3761"/>
    <w:rsid w:val="00FB4A41"/>
    <w:rsid w:val="00FB5089"/>
    <w:rsid w:val="00FB544C"/>
    <w:rsid w:val="00FB6E73"/>
    <w:rsid w:val="00FB7070"/>
    <w:rsid w:val="00FC0DD0"/>
    <w:rsid w:val="00FC4AA5"/>
    <w:rsid w:val="00FC54A5"/>
    <w:rsid w:val="00FC7233"/>
    <w:rsid w:val="00FD0855"/>
    <w:rsid w:val="00FD0D83"/>
    <w:rsid w:val="00FD248F"/>
    <w:rsid w:val="00FD45A1"/>
    <w:rsid w:val="00FD4C79"/>
    <w:rsid w:val="00FD662B"/>
    <w:rsid w:val="00FD7C12"/>
    <w:rsid w:val="00FE07C8"/>
    <w:rsid w:val="00FE0BD2"/>
    <w:rsid w:val="00FE111C"/>
    <w:rsid w:val="00FE279D"/>
    <w:rsid w:val="00FE34DF"/>
    <w:rsid w:val="00FE4127"/>
    <w:rsid w:val="00FE5B54"/>
    <w:rsid w:val="00FF0C7D"/>
    <w:rsid w:val="00FF3DA3"/>
    <w:rsid w:val="00FF6BF8"/>
    <w:rsid w:val="00FF73DB"/>
    <w:rsid w:val="00FF75BB"/>
    <w:rsid w:val="00FF7C53"/>
    <w:rsid w:val="00FF7E0D"/>
    <w:rsid w:val="066D6C41"/>
    <w:rsid w:val="0C2A37C0"/>
    <w:rsid w:val="0FA9020F"/>
    <w:rsid w:val="114763D5"/>
    <w:rsid w:val="1990583F"/>
    <w:rsid w:val="1B631744"/>
    <w:rsid w:val="24EB5E32"/>
    <w:rsid w:val="2DA520E0"/>
    <w:rsid w:val="2E575B00"/>
    <w:rsid w:val="31BD7AE4"/>
    <w:rsid w:val="31E60226"/>
    <w:rsid w:val="37BC5628"/>
    <w:rsid w:val="38EC0468"/>
    <w:rsid w:val="3A20586E"/>
    <w:rsid w:val="3BB250E2"/>
    <w:rsid w:val="3BDA1B25"/>
    <w:rsid w:val="3C0A4E5D"/>
    <w:rsid w:val="43661BF5"/>
    <w:rsid w:val="462A075E"/>
    <w:rsid w:val="48BA64B7"/>
    <w:rsid w:val="49EE681E"/>
    <w:rsid w:val="51BF2645"/>
    <w:rsid w:val="53593088"/>
    <w:rsid w:val="5AE248B7"/>
    <w:rsid w:val="600678D3"/>
    <w:rsid w:val="62566607"/>
    <w:rsid w:val="6CF0293B"/>
    <w:rsid w:val="72A765B0"/>
    <w:rsid w:val="73C22253"/>
    <w:rsid w:val="7475160D"/>
    <w:rsid w:val="7EB45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qFormat="1"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1"/>
    <w:qFormat/>
    <w:uiPriority w:val="0"/>
    <w:pPr>
      <w:keepNext/>
      <w:keepLines/>
      <w:spacing w:beforeLines="100" w:afterLines="150" w:line="440" w:lineRule="exact"/>
      <w:jc w:val="center"/>
      <w:outlineLvl w:val="0"/>
    </w:pPr>
    <w:rPr>
      <w:b/>
      <w:bCs/>
      <w:kern w:val="44"/>
      <w:sz w:val="44"/>
      <w:szCs w:val="44"/>
    </w:rPr>
  </w:style>
  <w:style w:type="paragraph" w:styleId="3">
    <w:name w:val="heading 2"/>
    <w:basedOn w:val="1"/>
    <w:next w:val="1"/>
    <w:link w:val="39"/>
    <w:qFormat/>
    <w:uiPriority w:val="0"/>
    <w:pPr>
      <w:keepNext/>
      <w:spacing w:beforeLines="200" w:line="415" w:lineRule="auto"/>
      <w:jc w:val="center"/>
      <w:outlineLvl w:val="1"/>
    </w:pPr>
    <w:rPr>
      <w:b/>
      <w:bCs/>
      <w:iCs/>
      <w:sz w:val="32"/>
      <w:szCs w:val="28"/>
    </w:rPr>
  </w:style>
  <w:style w:type="paragraph" w:styleId="4">
    <w:name w:val="heading 3"/>
    <w:basedOn w:val="5"/>
    <w:next w:val="1"/>
    <w:qFormat/>
    <w:uiPriority w:val="0"/>
    <w:pPr>
      <w:keepNext/>
      <w:keepLines/>
      <w:spacing w:beforeLines="100" w:afterLines="100" w:line="480" w:lineRule="auto"/>
      <w:ind w:left="0"/>
      <w:jc w:val="center"/>
      <w:outlineLvl w:val="2"/>
    </w:pPr>
    <w:rPr>
      <w:rFonts w:eastAsia="宋体"/>
      <w:b/>
      <w:bCs/>
      <w:sz w:val="44"/>
      <w:szCs w:val="32"/>
    </w:rPr>
  </w:style>
  <w:style w:type="paragraph" w:styleId="7">
    <w:name w:val="heading 4"/>
    <w:basedOn w:val="1"/>
    <w:next w:val="1"/>
    <w:link w:val="72"/>
    <w:unhideWhenUsed/>
    <w:qFormat/>
    <w:uiPriority w:val="0"/>
    <w:pPr>
      <w:keepNext/>
      <w:keepLines/>
      <w:spacing w:beforeLines="50" w:afterLines="50" w:line="415" w:lineRule="auto"/>
      <w:jc w:val="center"/>
      <w:outlineLvl w:val="3"/>
    </w:pPr>
    <w:rPr>
      <w:rFonts w:asciiTheme="majorHAnsi" w:hAnsiTheme="majorHAnsi" w:eastAsiaTheme="majorEastAsia" w:cstheme="majorBidi"/>
      <w:b/>
      <w:bCs/>
      <w:sz w:val="32"/>
      <w:szCs w:val="28"/>
    </w:rPr>
  </w:style>
  <w:style w:type="paragraph" w:styleId="8">
    <w:name w:val="heading 7"/>
    <w:basedOn w:val="1"/>
    <w:next w:val="1"/>
    <w:qFormat/>
    <w:uiPriority w:val="0"/>
    <w:pPr>
      <w:keepNext/>
      <w:jc w:val="center"/>
      <w:outlineLvl w:val="6"/>
    </w:pPr>
    <w:rPr>
      <w:bCs/>
      <w:sz w:val="28"/>
      <w:szCs w:val="24"/>
    </w:rPr>
  </w:style>
  <w:style w:type="character" w:default="1" w:styleId="28">
    <w:name w:val="Default Paragraph Font"/>
    <w:semiHidden/>
    <w:unhideWhenUsed/>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customStyle="1" w:styleId="5">
    <w:name w:val="章标题"/>
    <w:next w:val="6"/>
    <w:qFormat/>
    <w:uiPriority w:val="0"/>
    <w:pPr>
      <w:spacing w:beforeLines="50" w:afterLines="50"/>
      <w:ind w:left="2693"/>
      <w:jc w:val="both"/>
      <w:outlineLvl w:val="1"/>
    </w:pPr>
    <w:rPr>
      <w:rFonts w:ascii="黑体" w:hAnsi="Times New Roman" w:eastAsia="黑体" w:cs="Times New Roman"/>
      <w:sz w:val="21"/>
      <w:lang w:val="en-US" w:eastAsia="zh-CN" w:bidi="ar-SA"/>
    </w:rPr>
  </w:style>
  <w:style w:type="paragraph" w:customStyle="1" w:styleId="6">
    <w:name w:val="段"/>
    <w:link w:val="3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9">
    <w:name w:val="annotation subject"/>
    <w:basedOn w:val="10"/>
    <w:next w:val="10"/>
    <w:link w:val="44"/>
    <w:qFormat/>
    <w:uiPriority w:val="0"/>
    <w:rPr>
      <w:b/>
      <w:bCs/>
      <w:sz w:val="21"/>
    </w:rPr>
  </w:style>
  <w:style w:type="paragraph" w:styleId="10">
    <w:name w:val="annotation text"/>
    <w:basedOn w:val="1"/>
    <w:link w:val="43"/>
    <w:semiHidden/>
    <w:qFormat/>
    <w:uiPriority w:val="0"/>
    <w:pPr>
      <w:jc w:val="left"/>
    </w:pPr>
    <w:rPr>
      <w:sz w:val="24"/>
    </w:rPr>
  </w:style>
  <w:style w:type="paragraph" w:styleId="11">
    <w:name w:val="Document Map"/>
    <w:basedOn w:val="1"/>
    <w:semiHidden/>
    <w:qFormat/>
    <w:uiPriority w:val="0"/>
    <w:pPr>
      <w:shd w:val="clear" w:color="auto" w:fill="000080"/>
    </w:pPr>
  </w:style>
  <w:style w:type="paragraph" w:styleId="12">
    <w:name w:val="Body Text"/>
    <w:basedOn w:val="1"/>
    <w:link w:val="40"/>
    <w:qFormat/>
    <w:uiPriority w:val="0"/>
    <w:rPr>
      <w:rFonts w:eastAsia="楷体_GB2312"/>
      <w:b/>
      <w:sz w:val="28"/>
    </w:rPr>
  </w:style>
  <w:style w:type="paragraph" w:styleId="13">
    <w:name w:val="Body Text Indent"/>
    <w:basedOn w:val="1"/>
    <w:link w:val="74"/>
    <w:qFormat/>
    <w:uiPriority w:val="0"/>
    <w:pPr>
      <w:spacing w:line="360" w:lineRule="exact"/>
      <w:ind w:firstLine="480"/>
    </w:pPr>
    <w:rPr>
      <w:rFonts w:ascii="宋体"/>
      <w:sz w:val="24"/>
    </w:rPr>
  </w:style>
  <w:style w:type="paragraph" w:styleId="14">
    <w:name w:val="List 2"/>
    <w:basedOn w:val="1"/>
    <w:qFormat/>
    <w:uiPriority w:val="0"/>
    <w:pPr>
      <w:ind w:left="100" w:leftChars="200" w:hanging="200" w:hangingChars="200"/>
    </w:pPr>
    <w:rPr>
      <w:szCs w:val="24"/>
    </w:rPr>
  </w:style>
  <w:style w:type="paragraph" w:styleId="15">
    <w:name w:val="toc 3"/>
    <w:basedOn w:val="1"/>
    <w:next w:val="1"/>
    <w:qFormat/>
    <w:uiPriority w:val="39"/>
    <w:pPr>
      <w:tabs>
        <w:tab w:val="right" w:leader="dot" w:pos="9175"/>
      </w:tabs>
      <w:ind w:left="840" w:leftChars="400"/>
    </w:pPr>
  </w:style>
  <w:style w:type="paragraph" w:styleId="16">
    <w:name w:val="Plain Text"/>
    <w:basedOn w:val="1"/>
    <w:qFormat/>
    <w:uiPriority w:val="0"/>
    <w:rPr>
      <w:rFonts w:ascii="宋体" w:hAnsi="Courier New"/>
      <w:sz w:val="24"/>
    </w:rPr>
  </w:style>
  <w:style w:type="paragraph" w:styleId="17">
    <w:name w:val="Date"/>
    <w:basedOn w:val="1"/>
    <w:next w:val="1"/>
    <w:qFormat/>
    <w:uiPriority w:val="0"/>
    <w:rPr>
      <w:b/>
      <w:sz w:val="28"/>
    </w:rPr>
  </w:style>
  <w:style w:type="paragraph" w:styleId="18">
    <w:name w:val="Balloon Text"/>
    <w:basedOn w:val="1"/>
    <w:semiHidden/>
    <w:qFormat/>
    <w:uiPriority w:val="0"/>
    <w:rPr>
      <w:sz w:val="18"/>
      <w:szCs w:val="18"/>
    </w:rPr>
  </w:style>
  <w:style w:type="paragraph" w:styleId="19">
    <w:name w:val="footer"/>
    <w:basedOn w:val="1"/>
    <w:link w:val="42"/>
    <w:qFormat/>
    <w:uiPriority w:val="99"/>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tabs>
        <w:tab w:val="right" w:leader="dot" w:pos="9175"/>
      </w:tabs>
      <w:jc w:val="left"/>
    </w:pPr>
  </w:style>
  <w:style w:type="paragraph" w:styleId="22">
    <w:name w:val="toc 4"/>
    <w:basedOn w:val="1"/>
    <w:next w:val="1"/>
    <w:qFormat/>
    <w:uiPriority w:val="39"/>
    <w:pPr>
      <w:ind w:left="1260" w:leftChars="600"/>
    </w:pPr>
  </w:style>
  <w:style w:type="paragraph" w:styleId="23">
    <w:name w:val="toc 6"/>
    <w:basedOn w:val="1"/>
    <w:next w:val="1"/>
    <w:qFormat/>
    <w:uiPriority w:val="0"/>
    <w:pPr>
      <w:ind w:left="2100" w:leftChars="1000"/>
    </w:pPr>
  </w:style>
  <w:style w:type="paragraph" w:styleId="24">
    <w:name w:val="toc 2"/>
    <w:basedOn w:val="1"/>
    <w:next w:val="1"/>
    <w:qFormat/>
    <w:uiPriority w:val="39"/>
    <w:pPr>
      <w:ind w:left="420" w:leftChars="200"/>
    </w:pPr>
    <w:rPr>
      <w:szCs w:val="24"/>
    </w:rPr>
  </w:style>
  <w:style w:type="paragraph" w:styleId="25">
    <w:name w:val="Body Text 2"/>
    <w:basedOn w:val="1"/>
    <w:qFormat/>
    <w:uiPriority w:val="0"/>
    <w:rPr>
      <w:sz w:val="24"/>
    </w:rPr>
  </w:style>
  <w:style w:type="paragraph" w:styleId="26">
    <w:name w:val="Normal (Web)"/>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styleId="27">
    <w:name w:val="Title"/>
    <w:basedOn w:val="1"/>
    <w:next w:val="1"/>
    <w:link w:val="49"/>
    <w:qFormat/>
    <w:uiPriority w:val="0"/>
    <w:pPr>
      <w:spacing w:before="240" w:after="60"/>
      <w:jc w:val="center"/>
      <w:outlineLvl w:val="0"/>
    </w:pPr>
    <w:rPr>
      <w:rFonts w:ascii="Calibri Light" w:hAnsi="Calibri Light"/>
      <w:b/>
      <w:bCs/>
      <w:sz w:val="32"/>
      <w:szCs w:val="32"/>
    </w:rPr>
  </w:style>
  <w:style w:type="character" w:styleId="29">
    <w:name w:val="Strong"/>
    <w:qFormat/>
    <w:uiPriority w:val="0"/>
    <w:rPr>
      <w:b/>
      <w:bCs/>
    </w:rPr>
  </w:style>
  <w:style w:type="character" w:styleId="30">
    <w:name w:val="page number"/>
    <w:basedOn w:val="28"/>
    <w:qFormat/>
    <w:uiPriority w:val="0"/>
  </w:style>
  <w:style w:type="character" w:styleId="31">
    <w:name w:val="FollowedHyperlink"/>
    <w:qFormat/>
    <w:uiPriority w:val="0"/>
    <w:rPr>
      <w:color w:val="800080"/>
      <w:u w:val="single"/>
    </w:rPr>
  </w:style>
  <w:style w:type="character" w:styleId="32">
    <w:name w:val="Emphasis"/>
    <w:basedOn w:val="28"/>
    <w:qFormat/>
    <w:uiPriority w:val="20"/>
    <w:rPr>
      <w:color w:val="CC0000"/>
      <w:sz w:val="24"/>
      <w:szCs w:val="24"/>
    </w:rPr>
  </w:style>
  <w:style w:type="character" w:styleId="33">
    <w:name w:val="Hyperlink"/>
    <w:qFormat/>
    <w:uiPriority w:val="99"/>
    <w:rPr>
      <w:color w:val="0000FF"/>
      <w:u w:val="single"/>
    </w:rPr>
  </w:style>
  <w:style w:type="character" w:styleId="34">
    <w:name w:val="annotation reference"/>
    <w:qFormat/>
    <w:uiPriority w:val="99"/>
    <w:rPr>
      <w:sz w:val="21"/>
      <w:szCs w:val="21"/>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37">
    <w:name w:val="Table Theme"/>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8">
    <w:name w:val="段 Char"/>
    <w:link w:val="6"/>
    <w:qFormat/>
    <w:uiPriority w:val="0"/>
    <w:rPr>
      <w:rFonts w:ascii="宋体"/>
      <w:sz w:val="21"/>
      <w:lang w:val="en-US" w:eastAsia="zh-CN" w:bidi="ar-SA"/>
    </w:rPr>
  </w:style>
  <w:style w:type="character" w:customStyle="1" w:styleId="39">
    <w:name w:val="标题 2 Char"/>
    <w:link w:val="3"/>
    <w:qFormat/>
    <w:uiPriority w:val="0"/>
    <w:rPr>
      <w:b/>
      <w:bCs/>
      <w:iCs/>
      <w:kern w:val="2"/>
      <w:sz w:val="32"/>
      <w:szCs w:val="28"/>
    </w:rPr>
  </w:style>
  <w:style w:type="character" w:customStyle="1" w:styleId="40">
    <w:name w:val="正文文本 Char"/>
    <w:link w:val="12"/>
    <w:qFormat/>
    <w:uiPriority w:val="0"/>
    <w:rPr>
      <w:rFonts w:eastAsia="楷体_GB2312"/>
      <w:b/>
      <w:kern w:val="2"/>
      <w:sz w:val="28"/>
    </w:rPr>
  </w:style>
  <w:style w:type="character" w:customStyle="1" w:styleId="41">
    <w:name w:val="CharAttribute0"/>
    <w:qFormat/>
    <w:uiPriority w:val="0"/>
    <w:rPr>
      <w:rFonts w:hint="default" w:ascii="Times New Roman" w:hAnsi="Times New Roman" w:eastAsia="Times New Roman"/>
    </w:rPr>
  </w:style>
  <w:style w:type="character" w:customStyle="1" w:styleId="42">
    <w:name w:val="页脚 Char"/>
    <w:link w:val="19"/>
    <w:qFormat/>
    <w:uiPriority w:val="99"/>
    <w:rPr>
      <w:kern w:val="2"/>
      <w:sz w:val="18"/>
    </w:rPr>
  </w:style>
  <w:style w:type="character" w:customStyle="1" w:styleId="43">
    <w:name w:val="批注文字 Char"/>
    <w:link w:val="10"/>
    <w:semiHidden/>
    <w:qFormat/>
    <w:uiPriority w:val="0"/>
    <w:rPr>
      <w:kern w:val="2"/>
      <w:sz w:val="24"/>
    </w:rPr>
  </w:style>
  <w:style w:type="character" w:customStyle="1" w:styleId="44">
    <w:name w:val="批注主题 Char"/>
    <w:link w:val="9"/>
    <w:qFormat/>
    <w:uiPriority w:val="0"/>
    <w:rPr>
      <w:b/>
      <w:bCs/>
      <w:kern w:val="2"/>
      <w:sz w:val="21"/>
    </w:rPr>
  </w:style>
  <w:style w:type="character" w:customStyle="1" w:styleId="45">
    <w:name w:val="MTDisplayEquation Char"/>
    <w:link w:val="46"/>
    <w:qFormat/>
    <w:uiPriority w:val="0"/>
    <w:rPr>
      <w:rFonts w:ascii="宋体" w:hAnsi="宋体" w:eastAsia="楷体_GB2312"/>
      <w:kern w:val="2"/>
      <w:sz w:val="24"/>
      <w:szCs w:val="24"/>
    </w:rPr>
  </w:style>
  <w:style w:type="paragraph" w:customStyle="1" w:styleId="46">
    <w:name w:val="MTDisplayEquation"/>
    <w:basedOn w:val="12"/>
    <w:next w:val="1"/>
    <w:link w:val="45"/>
    <w:qFormat/>
    <w:uiPriority w:val="0"/>
    <w:pPr>
      <w:tabs>
        <w:tab w:val="center" w:pos="4600"/>
        <w:tab w:val="right" w:pos="9180"/>
      </w:tabs>
      <w:adjustRightInd w:val="0"/>
      <w:snapToGrid w:val="0"/>
      <w:spacing w:line="440" w:lineRule="atLeast"/>
      <w:ind w:right="252" w:rightChars="120" w:firstLine="480"/>
      <w:jc w:val="left"/>
    </w:pPr>
    <w:rPr>
      <w:rFonts w:ascii="宋体" w:hAnsi="宋体"/>
      <w:b w:val="0"/>
      <w:sz w:val="24"/>
      <w:szCs w:val="24"/>
    </w:rPr>
  </w:style>
  <w:style w:type="character" w:customStyle="1" w:styleId="47">
    <w:name w:val="样式 标题 1 + 小四 Char"/>
    <w:link w:val="48"/>
    <w:qFormat/>
    <w:locked/>
    <w:uiPriority w:val="0"/>
    <w:rPr>
      <w:rFonts w:eastAsia="黑体"/>
      <w:kern w:val="44"/>
      <w:sz w:val="21"/>
      <w:szCs w:val="44"/>
    </w:rPr>
  </w:style>
  <w:style w:type="paragraph" w:customStyle="1" w:styleId="48">
    <w:name w:val="样式 标题 1 + 小四"/>
    <w:basedOn w:val="2"/>
    <w:link w:val="47"/>
    <w:qFormat/>
    <w:uiPriority w:val="0"/>
    <w:pPr>
      <w:snapToGrid w:val="0"/>
      <w:spacing w:beforeLines="50" w:afterLines="50" w:line="240" w:lineRule="auto"/>
      <w:contextualSpacing/>
      <w:jc w:val="left"/>
    </w:pPr>
    <w:rPr>
      <w:rFonts w:eastAsia="黑体"/>
      <w:b w:val="0"/>
      <w:bCs w:val="0"/>
      <w:sz w:val="21"/>
    </w:rPr>
  </w:style>
  <w:style w:type="character" w:customStyle="1" w:styleId="49">
    <w:name w:val="标题 Char"/>
    <w:link w:val="27"/>
    <w:qFormat/>
    <w:uiPriority w:val="0"/>
    <w:rPr>
      <w:rFonts w:ascii="Calibri Light" w:hAnsi="Calibri Light" w:cs="Times New Roman"/>
      <w:b/>
      <w:bCs/>
      <w:kern w:val="2"/>
      <w:sz w:val="32"/>
      <w:szCs w:val="32"/>
    </w:rPr>
  </w:style>
  <w:style w:type="character" w:customStyle="1" w:styleId="50">
    <w:name w:val="apple-converted-space"/>
    <w:qFormat/>
    <w:uiPriority w:val="0"/>
  </w:style>
  <w:style w:type="character" w:customStyle="1" w:styleId="51">
    <w:name w:val="标题 1 Char"/>
    <w:link w:val="2"/>
    <w:qFormat/>
    <w:uiPriority w:val="0"/>
    <w:rPr>
      <w:b/>
      <w:bCs/>
      <w:kern w:val="44"/>
      <w:sz w:val="44"/>
      <w:szCs w:val="44"/>
    </w:rPr>
  </w:style>
  <w:style w:type="paragraph" w:customStyle="1" w:styleId="52">
    <w:name w:val="网格表 31"/>
    <w:basedOn w:val="2"/>
    <w:next w:val="1"/>
    <w:unhideWhenUsed/>
    <w:qFormat/>
    <w:uiPriority w:val="39"/>
    <w:pPr>
      <w:widowControl/>
      <w:spacing w:before="240" w:line="259" w:lineRule="auto"/>
      <w:jc w:val="left"/>
      <w:outlineLvl w:val="9"/>
    </w:pPr>
    <w:rPr>
      <w:rFonts w:ascii="Calibri Light" w:hAnsi="Calibri Light"/>
      <w:b w:val="0"/>
      <w:bCs w:val="0"/>
      <w:color w:val="2E74B5"/>
      <w:kern w:val="0"/>
      <w:sz w:val="32"/>
      <w:szCs w:val="32"/>
    </w:rPr>
  </w:style>
  <w:style w:type="paragraph" w:customStyle="1" w:styleId="53">
    <w:name w:val="五级条标题"/>
    <w:basedOn w:val="54"/>
    <w:next w:val="6"/>
    <w:qFormat/>
    <w:uiPriority w:val="0"/>
    <w:pPr>
      <w:outlineLvl w:val="6"/>
    </w:pPr>
  </w:style>
  <w:style w:type="paragraph" w:customStyle="1" w:styleId="54">
    <w:name w:val="四级条标题"/>
    <w:basedOn w:val="55"/>
    <w:next w:val="6"/>
    <w:qFormat/>
    <w:uiPriority w:val="0"/>
    <w:pPr>
      <w:outlineLvl w:val="5"/>
    </w:pPr>
  </w:style>
  <w:style w:type="paragraph" w:customStyle="1" w:styleId="55">
    <w:name w:val="三级条标题"/>
    <w:basedOn w:val="56"/>
    <w:next w:val="6"/>
    <w:qFormat/>
    <w:uiPriority w:val="0"/>
    <w:pPr>
      <w:outlineLvl w:val="4"/>
    </w:pPr>
  </w:style>
  <w:style w:type="paragraph" w:customStyle="1" w:styleId="56">
    <w:name w:val="二级条标题"/>
    <w:basedOn w:val="57"/>
    <w:next w:val="6"/>
    <w:qFormat/>
    <w:uiPriority w:val="0"/>
    <w:pPr>
      <w:outlineLvl w:val="3"/>
    </w:pPr>
  </w:style>
  <w:style w:type="paragraph" w:customStyle="1" w:styleId="57">
    <w:name w:val="一级条标题"/>
    <w:basedOn w:val="5"/>
    <w:next w:val="6"/>
    <w:qFormat/>
    <w:uiPriority w:val="0"/>
    <w:pPr>
      <w:spacing w:beforeLines="0" w:afterLines="0"/>
      <w:ind w:left="0"/>
      <w:outlineLvl w:val="2"/>
    </w:pPr>
  </w:style>
  <w:style w:type="paragraph" w:customStyle="1" w:styleId="58">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9">
    <w:name w:val="TOC 标题1"/>
    <w:basedOn w:val="2"/>
    <w:next w:val="1"/>
    <w:qFormat/>
    <w:uiPriority w:val="39"/>
    <w:pPr>
      <w:widowControl/>
      <w:spacing w:before="240" w:line="259" w:lineRule="auto"/>
      <w:jc w:val="left"/>
      <w:outlineLvl w:val="9"/>
    </w:pPr>
    <w:rPr>
      <w:rFonts w:ascii="Calibri Light" w:hAnsi="Calibri Light"/>
      <w:b w:val="0"/>
      <w:bCs w:val="0"/>
      <w:color w:val="2E74B5"/>
      <w:kern w:val="0"/>
      <w:sz w:val="32"/>
      <w:szCs w:val="32"/>
    </w:rPr>
  </w:style>
  <w:style w:type="paragraph" w:customStyle="1" w:styleId="60">
    <w:name w:val="1"/>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
    <w:name w:val="普通 (Web)"/>
    <w:basedOn w:val="1"/>
    <w:next w:val="1"/>
    <w:qFormat/>
    <w:uiPriority w:val="0"/>
    <w:pPr>
      <w:autoSpaceDE w:val="0"/>
      <w:autoSpaceDN w:val="0"/>
      <w:adjustRightInd w:val="0"/>
      <w:spacing w:before="100" w:after="100"/>
      <w:jc w:val="left"/>
    </w:pPr>
    <w:rPr>
      <w:rFonts w:ascii="..ì." w:eastAsia="..ì."/>
      <w:kern w:val="0"/>
      <w:sz w:val="24"/>
      <w:szCs w:val="24"/>
    </w:rPr>
  </w:style>
  <w:style w:type="paragraph" w:customStyle="1" w:styleId="62">
    <w:name w:val="样式 首行缩进:  1 字符"/>
    <w:basedOn w:val="1"/>
    <w:qFormat/>
    <w:uiPriority w:val="0"/>
    <w:pPr>
      <w:tabs>
        <w:tab w:val="left" w:pos="735"/>
      </w:tabs>
      <w:ind w:firstLine="600" w:firstLineChars="200"/>
    </w:pPr>
    <w:rPr>
      <w:rFonts w:ascii="宋体" w:hAnsi="宋体"/>
      <w:color w:val="00FF00"/>
      <w:sz w:val="30"/>
      <w:szCs w:val="21"/>
    </w:rPr>
  </w:style>
  <w:style w:type="paragraph" w:customStyle="1" w:styleId="63">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64">
    <w:name w:val="标题4"/>
    <w:basedOn w:val="1"/>
    <w:qFormat/>
    <w:uiPriority w:val="0"/>
    <w:rPr>
      <w:b/>
      <w:sz w:val="28"/>
      <w:szCs w:val="24"/>
    </w:rPr>
  </w:style>
  <w:style w:type="paragraph" w:customStyle="1" w:styleId="65">
    <w:name w:val="列出段落1"/>
    <w:basedOn w:val="1"/>
    <w:qFormat/>
    <w:uiPriority w:val="0"/>
    <w:pPr>
      <w:ind w:firstLine="420" w:firstLineChars="200"/>
    </w:pPr>
    <w:rPr>
      <w:szCs w:val="24"/>
    </w:rPr>
  </w:style>
  <w:style w:type="paragraph" w:customStyle="1" w:styleId="66">
    <w:name w:val="ParaAttribute0"/>
    <w:qFormat/>
    <w:uiPriority w:val="0"/>
    <w:pPr>
      <w:widowControl w:val="0"/>
      <w:wordWrap w:val="0"/>
    </w:pPr>
    <w:rPr>
      <w:rFonts w:ascii="Times New Roman" w:hAnsi="Times New Roman" w:eastAsia="Batang" w:cs="Times New Roman"/>
      <w:lang w:val="en-US" w:eastAsia="zh-CN" w:bidi="ar-SA"/>
    </w:rPr>
  </w:style>
  <w:style w:type="paragraph" w:customStyle="1" w:styleId="67">
    <w:name w:val="缩进"/>
    <w:basedOn w:val="12"/>
    <w:link w:val="68"/>
    <w:qFormat/>
    <w:uiPriority w:val="1"/>
    <w:pPr>
      <w:widowControl/>
      <w:ind w:firstLine="200" w:firstLineChars="200"/>
    </w:pPr>
    <w:rPr>
      <w:rFonts w:ascii="宋体" w:hAnsi="宋体" w:eastAsia="宋体"/>
      <w:b w:val="0"/>
      <w:spacing w:val="-1"/>
      <w:w w:val="95"/>
      <w:kern w:val="0"/>
      <w:sz w:val="21"/>
      <w:szCs w:val="21"/>
    </w:rPr>
  </w:style>
  <w:style w:type="character" w:customStyle="1" w:styleId="68">
    <w:name w:val="缩进 Char"/>
    <w:basedOn w:val="40"/>
    <w:link w:val="67"/>
    <w:qFormat/>
    <w:uiPriority w:val="1"/>
    <w:rPr>
      <w:rFonts w:ascii="宋体" w:hAnsi="宋体" w:eastAsia="宋体" w:cs="Times New Roman"/>
      <w:spacing w:val="-1"/>
      <w:w w:val="95"/>
      <w:sz w:val="21"/>
      <w:szCs w:val="21"/>
    </w:rPr>
  </w:style>
  <w:style w:type="table" w:customStyle="1" w:styleId="69">
    <w:name w:val="Table Normal"/>
    <w:semiHidden/>
    <w:unhideWhenUsed/>
    <w:qFormat/>
    <w:uiPriority w:val="2"/>
    <w:pPr>
      <w:ind w:firstLine="200" w:firstLineChars="200"/>
      <w:jc w:val="both"/>
    </w:pPr>
    <w:rPr>
      <w:rFonts w:asciiTheme="minorHAnsi" w:hAnsiTheme="minorHAnsi" w:eastAsiaTheme="minorEastAsia" w:cstheme="minorBidi"/>
      <w:sz w:val="22"/>
      <w:szCs w:val="22"/>
      <w:lang w:eastAsia="en-US"/>
    </w:rPr>
    <w:tblPr>
      <w:tblLayout w:type="fixed"/>
      <w:tblCellMar>
        <w:top w:w="0" w:type="dxa"/>
        <w:left w:w="0" w:type="dxa"/>
        <w:bottom w:w="0" w:type="dxa"/>
        <w:right w:w="0" w:type="dxa"/>
      </w:tblCellMar>
    </w:tblPr>
  </w:style>
  <w:style w:type="character" w:styleId="70">
    <w:name w:val="Placeholder Text"/>
    <w:basedOn w:val="28"/>
    <w:unhideWhenUsed/>
    <w:qFormat/>
    <w:uiPriority w:val="99"/>
    <w:rPr>
      <w:color w:val="808080"/>
    </w:rPr>
  </w:style>
  <w:style w:type="paragraph" w:customStyle="1" w:styleId="71">
    <w:name w:val="标题2"/>
    <w:basedOn w:val="3"/>
    <w:link w:val="73"/>
    <w:qFormat/>
    <w:uiPriority w:val="0"/>
    <w:pPr>
      <w:spacing w:before="120" w:after="120"/>
    </w:pPr>
  </w:style>
  <w:style w:type="character" w:customStyle="1" w:styleId="72">
    <w:name w:val="标题 4 Char"/>
    <w:basedOn w:val="28"/>
    <w:link w:val="7"/>
    <w:qFormat/>
    <w:uiPriority w:val="0"/>
    <w:rPr>
      <w:rFonts w:asciiTheme="majorHAnsi" w:hAnsiTheme="majorHAnsi" w:eastAsiaTheme="majorEastAsia" w:cstheme="majorBidi"/>
      <w:b/>
      <w:bCs/>
      <w:kern w:val="2"/>
      <w:sz w:val="32"/>
      <w:szCs w:val="28"/>
    </w:rPr>
  </w:style>
  <w:style w:type="character" w:customStyle="1" w:styleId="73">
    <w:name w:val="标题2 Char"/>
    <w:basedOn w:val="39"/>
    <w:link w:val="71"/>
    <w:uiPriority w:val="0"/>
  </w:style>
  <w:style w:type="character" w:customStyle="1" w:styleId="74">
    <w:name w:val="正文文本缩进 Char"/>
    <w:basedOn w:val="28"/>
    <w:link w:val="13"/>
    <w:uiPriority w:val="0"/>
    <w:rPr>
      <w:rFonts w:ascii="宋体"/>
      <w:kern w:val="2"/>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26"/>
    <customShpInfo spid="_x0000_s1030"/>
    <customShpInfo spid="_x0000_s1027"/>
    <customShpInfo spid="_x0000_s1034"/>
    <customShpInfo spid="_x0000_s1033"/>
    <customShpInfo spid="_x0000_s1032"/>
    <customShpInfo spid="_x0000_s1036"/>
    <customShpInfo spid="_x0000_s1035"/>
    <customShpInfo spid="_x0000_s103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A11F7-6AB3-43BD-8005-129AD11551E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1941</Words>
  <Characters>11068</Characters>
  <Lines>92</Lines>
  <Paragraphs>25</Paragraphs>
  <TotalTime>2341</TotalTime>
  <ScaleCrop>false</ScaleCrop>
  <LinksUpToDate>false</LinksUpToDate>
  <CharactersWithSpaces>12984</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2016-05-16T06:54:00Z</dcterms:created>
  <dc:creator>ricky</dc:creator>
  <cp:lastModifiedBy>像风一样</cp:lastModifiedBy>
  <cp:lastPrinted>2020-06-23T08:23:00Z</cp:lastPrinted>
  <dcterms:modified xsi:type="dcterms:W3CDTF">2020-08-11T02:03:08Z</dcterms:modified>
  <dc:title>发布广东省标准《非承重混凝土小型砌块</dc:title>
  <cp:revision>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2052-10.8.2.6948</vt:lpwstr>
  </property>
</Properties>
</file>